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46714" w14:textId="4A342105" w:rsidR="007032F3" w:rsidRDefault="007032F3" w:rsidP="007032F3">
      <w:pPr>
        <w:pStyle w:val="3GPPHeader"/>
        <w:spacing w:after="0"/>
        <w:rPr>
          <w:rFonts w:ascii="Arial" w:hAnsi="Arial" w:cs="Arial"/>
          <w:sz w:val="22"/>
          <w:szCs w:val="22"/>
        </w:rPr>
      </w:pPr>
      <w:bookmarkStart w:id="0" w:name="_Hlk492190689"/>
      <w:r>
        <w:rPr>
          <w:rFonts w:ascii="Arial" w:hAnsi="Arial" w:cs="Arial"/>
          <w:sz w:val="22"/>
          <w:szCs w:val="22"/>
        </w:rPr>
        <w:t>3GPP TSG-RAN2 Meeting #109-e</w:t>
      </w:r>
      <w:r>
        <w:rPr>
          <w:rFonts w:ascii="Arial" w:hAnsi="Arial" w:cs="Arial"/>
          <w:sz w:val="22"/>
          <w:szCs w:val="22"/>
        </w:rPr>
        <w:tab/>
      </w:r>
      <w:r w:rsidR="003E7D8B" w:rsidRPr="003E7D8B">
        <w:rPr>
          <w:rFonts w:ascii="Arial" w:hAnsi="Arial" w:cs="Arial"/>
          <w:sz w:val="22"/>
          <w:szCs w:val="22"/>
        </w:rPr>
        <w:t>R2-2000352</w:t>
      </w:r>
    </w:p>
    <w:bookmarkEnd w:id="0"/>
    <w:p w14:paraId="2A233845" w14:textId="77777777" w:rsidR="007032F3" w:rsidRDefault="007032F3" w:rsidP="007032F3">
      <w:pPr>
        <w:pStyle w:val="3GPPHeader"/>
        <w:spacing w:after="0"/>
        <w:rPr>
          <w:rFonts w:ascii="Arial" w:hAnsi="Arial" w:cs="Arial"/>
          <w:sz w:val="22"/>
        </w:rPr>
      </w:pPr>
      <w:r>
        <w:rPr>
          <w:rFonts w:ascii="Arial" w:eastAsia="Malgun Gothic" w:hAnsi="Arial" w:cs="Arial"/>
          <w:sz w:val="22"/>
          <w:szCs w:val="22"/>
          <w:lang w:val="en-US" w:eastAsia="en-US"/>
        </w:rPr>
        <w:t>Online</w:t>
      </w:r>
    </w:p>
    <w:p w14:paraId="640B18F4" w14:textId="77777777" w:rsidR="00286831" w:rsidRPr="00A70921" w:rsidRDefault="00286831" w:rsidP="00120D47">
      <w:pPr>
        <w:pStyle w:val="3GPPHeader"/>
        <w:spacing w:after="0"/>
        <w:rPr>
          <w:rFonts w:ascii="Arial" w:hAnsi="Arial" w:cs="Arial"/>
          <w:sz w:val="22"/>
        </w:rPr>
      </w:pPr>
    </w:p>
    <w:p w14:paraId="18C94194" w14:textId="77777777" w:rsidR="00120D47" w:rsidRPr="00A70921" w:rsidRDefault="00120D47" w:rsidP="00120D47">
      <w:pPr>
        <w:pStyle w:val="3GPPHeader"/>
        <w:spacing w:after="0"/>
        <w:rPr>
          <w:rFonts w:ascii="Arial" w:hAnsi="Arial" w:cs="Arial"/>
          <w:sz w:val="22"/>
        </w:rPr>
      </w:pPr>
      <w:r w:rsidRPr="00A70921">
        <w:rPr>
          <w:rFonts w:ascii="Arial" w:hAnsi="Arial" w:cs="Arial"/>
          <w:sz w:val="22"/>
        </w:rPr>
        <w:tab/>
      </w:r>
    </w:p>
    <w:p w14:paraId="7BE584AF" w14:textId="6133CD0D" w:rsidR="00120D47" w:rsidRPr="00A70921" w:rsidRDefault="00120D47" w:rsidP="00F120D3">
      <w:pPr>
        <w:pStyle w:val="3GPPHeader"/>
        <w:spacing w:after="120"/>
        <w:rPr>
          <w:rFonts w:ascii="Arial" w:hAnsi="Arial" w:cs="Arial"/>
          <w:b w:val="0"/>
          <w:sz w:val="22"/>
        </w:rPr>
      </w:pPr>
      <w:r w:rsidRPr="00A70921">
        <w:rPr>
          <w:rFonts w:ascii="Arial" w:hAnsi="Arial" w:cs="Arial"/>
          <w:sz w:val="22"/>
        </w:rPr>
        <w:t>Agenda Item:</w:t>
      </w:r>
      <w:r w:rsidRPr="00A70921">
        <w:rPr>
          <w:rFonts w:ascii="Arial" w:hAnsi="Arial" w:cs="Arial"/>
          <w:sz w:val="22"/>
        </w:rPr>
        <w:tab/>
      </w:r>
      <w:r w:rsidR="00A70921" w:rsidRPr="00A70921">
        <w:rPr>
          <w:rFonts w:ascii="Arial" w:hAnsi="Arial" w:cs="Arial"/>
          <w:b w:val="0"/>
          <w:sz w:val="22"/>
        </w:rPr>
        <w:t>6.11.6</w:t>
      </w:r>
      <w:r w:rsidR="00A70921">
        <w:rPr>
          <w:rFonts w:ascii="Arial" w:hAnsi="Arial" w:cs="Arial"/>
          <w:b w:val="0"/>
          <w:sz w:val="22"/>
        </w:rPr>
        <w:t xml:space="preserve"> </w:t>
      </w:r>
      <w:r w:rsidR="00A70921" w:rsidRPr="00A70921">
        <w:rPr>
          <w:rFonts w:ascii="Arial" w:hAnsi="Arial" w:cs="Arial"/>
          <w:b w:val="0"/>
          <w:sz w:val="22"/>
        </w:rPr>
        <w:t>RRM measurement relaxation</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3FEE5794"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70921" w:rsidRPr="00A70921">
        <w:rPr>
          <w:rFonts w:ascii="Arial" w:hAnsi="Arial" w:cs="Arial"/>
          <w:b w:val="0"/>
          <w:bCs/>
          <w:sz w:val="22"/>
          <w:lang w:val="en-US"/>
        </w:rPr>
        <w:t>Open issues RRM measurement relaxation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8124D56" w:rsidR="00120D47" w:rsidRDefault="004D10CC" w:rsidP="00120D47">
      <w:pPr>
        <w:pStyle w:val="Heading1"/>
      </w:pPr>
      <w:r>
        <w:t>Introduction</w:t>
      </w:r>
    </w:p>
    <w:p w14:paraId="7A96FF5B" w14:textId="77777777" w:rsidR="00593DF1" w:rsidRDefault="00593DF1" w:rsidP="00966D74">
      <w:pPr>
        <w:rPr>
          <w:lang w:val="en-GB" w:eastAsia="zh-CN"/>
        </w:rPr>
      </w:pPr>
      <w:r>
        <w:rPr>
          <w:lang w:val="en-GB" w:eastAsia="zh-CN"/>
        </w:rPr>
        <w:t xml:space="preserve">RAN2 made further agreements for RRM measurement relaxation in RAN2#108: </w:t>
      </w:r>
    </w:p>
    <w:p w14:paraId="28A69501" w14:textId="77777777" w:rsidR="00F31722" w:rsidRPr="00F31722" w:rsidRDefault="00593DF1" w:rsidP="00F31722">
      <w:pPr>
        <w:pStyle w:val="Doc-text2"/>
        <w:pBdr>
          <w:top w:val="single" w:sz="4" w:space="1" w:color="auto"/>
          <w:left w:val="single" w:sz="4" w:space="4" w:color="auto"/>
          <w:bottom w:val="single" w:sz="4" w:space="1" w:color="auto"/>
          <w:right w:val="single" w:sz="4" w:space="4" w:color="auto"/>
        </w:pBdr>
        <w:ind w:left="726"/>
        <w:rPr>
          <w:rFonts w:ascii="Times New Roman" w:hAnsi="Times New Roman"/>
          <w:b/>
          <w:bCs/>
          <w:color w:val="C45911" w:themeColor="accent2" w:themeShade="BF"/>
          <w:sz w:val="18"/>
          <w:szCs w:val="18"/>
        </w:rPr>
      </w:pPr>
      <w:r w:rsidRPr="00F31722">
        <w:rPr>
          <w:rFonts w:ascii="Times New Roman" w:hAnsi="Times New Roman"/>
          <w:color w:val="C45911" w:themeColor="accent2" w:themeShade="BF"/>
          <w:sz w:val="18"/>
          <w:szCs w:val="18"/>
          <w:lang w:eastAsia="zh-CN"/>
        </w:rPr>
        <w:t xml:space="preserve"> </w:t>
      </w:r>
      <w:r w:rsidR="00F31722" w:rsidRPr="00F31722">
        <w:rPr>
          <w:rFonts w:ascii="Times New Roman" w:hAnsi="Times New Roman"/>
          <w:b/>
          <w:bCs/>
          <w:color w:val="C45911" w:themeColor="accent2" w:themeShade="BF"/>
          <w:sz w:val="18"/>
          <w:szCs w:val="18"/>
        </w:rPr>
        <w:t>Agreements</w:t>
      </w:r>
    </w:p>
    <w:p w14:paraId="19AF137E" w14:textId="77777777" w:rsidR="00F31722" w:rsidRPr="00F31722" w:rsidRDefault="00F31722" w:rsidP="00F31722">
      <w:pPr>
        <w:pStyle w:val="Doc-text2"/>
        <w:pBdr>
          <w:top w:val="single" w:sz="4" w:space="1" w:color="auto"/>
          <w:left w:val="single" w:sz="4" w:space="4" w:color="auto"/>
          <w:bottom w:val="single" w:sz="4" w:space="1" w:color="auto"/>
          <w:right w:val="single" w:sz="4" w:space="4" w:color="auto"/>
        </w:pBdr>
        <w:ind w:left="726"/>
        <w:rPr>
          <w:rFonts w:ascii="Times New Roman" w:hAnsi="Times New Roman"/>
          <w:color w:val="C45911" w:themeColor="accent2" w:themeShade="BF"/>
          <w:sz w:val="18"/>
          <w:szCs w:val="18"/>
        </w:rPr>
      </w:pPr>
      <w:r w:rsidRPr="00F31722">
        <w:rPr>
          <w:rFonts w:ascii="Times New Roman" w:hAnsi="Times New Roman"/>
          <w:color w:val="C45911" w:themeColor="accent2" w:themeShade="BF"/>
          <w:sz w:val="18"/>
          <w:szCs w:val="18"/>
        </w:rPr>
        <w:t>1</w:t>
      </w:r>
      <w:r w:rsidRPr="00F31722">
        <w:rPr>
          <w:rFonts w:ascii="Times New Roman" w:hAnsi="Times New Roman"/>
          <w:color w:val="C45911" w:themeColor="accent2" w:themeShade="BF"/>
          <w:sz w:val="18"/>
          <w:szCs w:val="18"/>
        </w:rPr>
        <w:tab/>
        <w:t>Measurement relaxation criteria is evaluated using cell quality only, and we do not define beam-specific conditions for RRM measurement relaxation.</w:t>
      </w:r>
    </w:p>
    <w:p w14:paraId="6C8B913A" w14:textId="77777777" w:rsidR="00F31722" w:rsidRPr="00F31722" w:rsidRDefault="00F31722" w:rsidP="00F31722">
      <w:pPr>
        <w:pStyle w:val="Doc-text2"/>
        <w:pBdr>
          <w:top w:val="single" w:sz="4" w:space="1" w:color="auto"/>
          <w:left w:val="single" w:sz="4" w:space="4" w:color="auto"/>
          <w:bottom w:val="single" w:sz="4" w:space="1" w:color="auto"/>
          <w:right w:val="single" w:sz="4" w:space="4" w:color="auto"/>
        </w:pBdr>
        <w:ind w:left="726"/>
        <w:rPr>
          <w:rFonts w:ascii="Times New Roman" w:hAnsi="Times New Roman"/>
          <w:color w:val="C45911" w:themeColor="accent2" w:themeShade="BF"/>
          <w:sz w:val="18"/>
          <w:szCs w:val="18"/>
        </w:rPr>
      </w:pPr>
      <w:r w:rsidRPr="00F31722">
        <w:rPr>
          <w:rFonts w:ascii="Times New Roman" w:hAnsi="Times New Roman"/>
          <w:color w:val="C45911" w:themeColor="accent2" w:themeShade="BF"/>
          <w:sz w:val="18"/>
          <w:szCs w:val="18"/>
        </w:rPr>
        <w:t>2</w:t>
      </w:r>
      <w:r w:rsidRPr="00F31722">
        <w:rPr>
          <w:rFonts w:ascii="Times New Roman" w:hAnsi="Times New Roman"/>
          <w:color w:val="C45911" w:themeColor="accent2" w:themeShade="BF"/>
          <w:sz w:val="18"/>
          <w:szCs w:val="18"/>
        </w:rPr>
        <w:tab/>
        <w:t>For not-at-cell-edge scenario, the thresholds can be based on RSRP and/or RSRQ and is configurable by the network. For low-mobility scenario, the thresholds of the delta are only in relation to RSRP.</w:t>
      </w:r>
    </w:p>
    <w:p w14:paraId="414F50B6" w14:textId="77777777" w:rsidR="00F31722" w:rsidRPr="00F31722" w:rsidRDefault="00F31722" w:rsidP="00F31722">
      <w:pPr>
        <w:pStyle w:val="Doc-text2"/>
        <w:pBdr>
          <w:top w:val="single" w:sz="4" w:space="1" w:color="auto"/>
          <w:left w:val="single" w:sz="4" w:space="4" w:color="auto"/>
          <w:bottom w:val="single" w:sz="4" w:space="1" w:color="auto"/>
          <w:right w:val="single" w:sz="4" w:space="4" w:color="auto"/>
        </w:pBdr>
        <w:ind w:left="726"/>
        <w:rPr>
          <w:rFonts w:ascii="Times New Roman" w:hAnsi="Times New Roman"/>
          <w:color w:val="C45911" w:themeColor="accent2" w:themeShade="BF"/>
          <w:sz w:val="18"/>
          <w:szCs w:val="18"/>
        </w:rPr>
      </w:pPr>
      <w:r w:rsidRPr="00F31722">
        <w:rPr>
          <w:rFonts w:ascii="Times New Roman" w:hAnsi="Times New Roman"/>
          <w:color w:val="C45911" w:themeColor="accent2" w:themeShade="BF"/>
          <w:sz w:val="18"/>
          <w:szCs w:val="18"/>
        </w:rPr>
        <w:t>3</w:t>
      </w:r>
      <w:r w:rsidRPr="00F31722">
        <w:rPr>
          <w:rFonts w:ascii="Times New Roman" w:hAnsi="Times New Roman"/>
          <w:color w:val="C45911" w:themeColor="accent2" w:themeShade="BF"/>
          <w:sz w:val="18"/>
          <w:szCs w:val="18"/>
        </w:rPr>
        <w:tab/>
        <w:t xml:space="preserve">Whether higher priority frequencies can be relaxed is up to network configuration.  FFS on how the configuration is done. </w:t>
      </w:r>
    </w:p>
    <w:p w14:paraId="1AD82CA9" w14:textId="77777777" w:rsidR="00F31722" w:rsidRPr="00F31722" w:rsidRDefault="00F31722" w:rsidP="00F31722">
      <w:pPr>
        <w:pStyle w:val="Doc-text2"/>
        <w:pBdr>
          <w:top w:val="single" w:sz="4" w:space="1" w:color="auto"/>
          <w:left w:val="single" w:sz="4" w:space="4" w:color="auto"/>
          <w:bottom w:val="single" w:sz="4" w:space="1" w:color="auto"/>
          <w:right w:val="single" w:sz="4" w:space="4" w:color="auto"/>
        </w:pBdr>
        <w:ind w:left="726"/>
        <w:rPr>
          <w:rFonts w:ascii="Times New Roman" w:hAnsi="Times New Roman"/>
          <w:color w:val="C45911" w:themeColor="accent2" w:themeShade="BF"/>
          <w:sz w:val="18"/>
          <w:szCs w:val="18"/>
        </w:rPr>
      </w:pPr>
      <w:r w:rsidRPr="00F31722">
        <w:rPr>
          <w:rFonts w:ascii="Times New Roman" w:hAnsi="Times New Roman"/>
          <w:color w:val="C45911" w:themeColor="accent2" w:themeShade="BF"/>
          <w:sz w:val="18"/>
          <w:szCs w:val="18"/>
        </w:rPr>
        <w:t>4</w:t>
      </w:r>
      <w:r w:rsidRPr="00F31722">
        <w:rPr>
          <w:rFonts w:ascii="Times New Roman" w:hAnsi="Times New Roman"/>
          <w:color w:val="C45911" w:themeColor="accent2" w:themeShade="BF"/>
          <w:sz w:val="18"/>
          <w:szCs w:val="18"/>
        </w:rPr>
        <w:tab/>
        <w:t>Network configures RRM measurement relaxation via broadcast only; dedicated control is not supported</w:t>
      </w:r>
    </w:p>
    <w:p w14:paraId="7236215D" w14:textId="77777777" w:rsidR="00F31722" w:rsidRPr="00F31722" w:rsidRDefault="00F31722" w:rsidP="00F31722">
      <w:pPr>
        <w:pStyle w:val="Doc-text2"/>
        <w:pBdr>
          <w:top w:val="single" w:sz="4" w:space="1" w:color="auto"/>
          <w:left w:val="single" w:sz="4" w:space="4" w:color="auto"/>
          <w:bottom w:val="single" w:sz="4" w:space="1" w:color="auto"/>
          <w:right w:val="single" w:sz="4" w:space="4" w:color="auto"/>
        </w:pBdr>
        <w:ind w:left="726"/>
        <w:rPr>
          <w:rFonts w:ascii="Times New Roman" w:hAnsi="Times New Roman"/>
          <w:color w:val="C45911" w:themeColor="accent2" w:themeShade="BF"/>
          <w:sz w:val="18"/>
          <w:szCs w:val="18"/>
        </w:rPr>
      </w:pPr>
      <w:r w:rsidRPr="00F31722">
        <w:rPr>
          <w:rFonts w:ascii="Times New Roman" w:hAnsi="Times New Roman"/>
          <w:color w:val="C45911" w:themeColor="accent2" w:themeShade="BF"/>
          <w:sz w:val="18"/>
          <w:szCs w:val="18"/>
        </w:rPr>
        <w:t>5</w:t>
      </w:r>
      <w:r w:rsidRPr="00F31722">
        <w:rPr>
          <w:rFonts w:ascii="Times New Roman" w:hAnsi="Times New Roman"/>
          <w:color w:val="C45911" w:themeColor="accent2" w:themeShade="BF"/>
          <w:sz w:val="18"/>
          <w:szCs w:val="18"/>
        </w:rPr>
        <w:tab/>
        <w:t xml:space="preserve">For modifications of low-mobility scenario, TSearchDeltaP less than 5 minutes is configurable in NR. </w:t>
      </w:r>
    </w:p>
    <w:p w14:paraId="340C3D84" w14:textId="5830627F" w:rsidR="00393EB8" w:rsidRDefault="00743B33" w:rsidP="000B0FE3">
      <w:pPr>
        <w:spacing w:before="200"/>
        <w:rPr>
          <w:lang w:val="en-GB" w:eastAsia="zh-CN"/>
        </w:rPr>
      </w:pPr>
      <w:r>
        <w:rPr>
          <w:lang w:val="en-GB" w:eastAsia="zh-CN"/>
        </w:rPr>
        <w:t xml:space="preserve">RAN4 also discussed RRM measurement relaxation and agreed a way forward </w:t>
      </w:r>
      <w:r w:rsidR="006C442C">
        <w:rPr>
          <w:lang w:val="en-GB" w:eastAsia="zh-CN"/>
        </w:rPr>
        <w:t>[1]:</w:t>
      </w:r>
    </w:p>
    <w:p w14:paraId="317F9A17" w14:textId="77777777" w:rsidR="0056603C" w:rsidRPr="0056603C" w:rsidRDefault="0056603C" w:rsidP="000B0FE3">
      <w:pPr>
        <w:numPr>
          <w:ilvl w:val="0"/>
          <w:numId w:val="43"/>
        </w:numPr>
        <w:spacing w:after="0"/>
        <w:rPr>
          <w:rFonts w:ascii="Times New Roman" w:hAnsi="Times New Roman"/>
          <w:color w:val="C45911" w:themeColor="accent2" w:themeShade="BF"/>
          <w:sz w:val="16"/>
          <w:szCs w:val="16"/>
          <w:lang w:val="en-GB" w:eastAsia="zh-CN"/>
        </w:rPr>
      </w:pPr>
      <w:r w:rsidRPr="0056603C">
        <w:rPr>
          <w:rFonts w:ascii="Times New Roman" w:hAnsi="Times New Roman"/>
          <w:b/>
          <w:bCs/>
          <w:color w:val="C45911" w:themeColor="accent2" w:themeShade="BF"/>
          <w:sz w:val="16"/>
          <w:szCs w:val="16"/>
          <w:lang w:eastAsia="zh-CN"/>
        </w:rPr>
        <w:t>Scenarios:</w:t>
      </w:r>
    </w:p>
    <w:p w14:paraId="07473C06" w14:textId="77777777" w:rsidR="0056603C" w:rsidRPr="0056603C" w:rsidRDefault="0056603C" w:rsidP="000B0FE3">
      <w:pPr>
        <w:numPr>
          <w:ilvl w:val="1"/>
          <w:numId w:val="43"/>
        </w:numPr>
        <w:spacing w:after="0"/>
        <w:rPr>
          <w:rFonts w:ascii="Times New Roman" w:hAnsi="Times New Roman"/>
          <w:color w:val="C45911" w:themeColor="accent2" w:themeShade="BF"/>
          <w:sz w:val="16"/>
          <w:szCs w:val="16"/>
          <w:lang w:val="en-GB" w:eastAsia="zh-CN"/>
        </w:rPr>
      </w:pPr>
      <w:r w:rsidRPr="0056603C">
        <w:rPr>
          <w:rFonts w:ascii="Times New Roman" w:hAnsi="Times New Roman"/>
          <w:color w:val="C45911" w:themeColor="accent2" w:themeShade="BF"/>
          <w:sz w:val="16"/>
          <w:szCs w:val="16"/>
          <w:lang w:eastAsia="zh-CN"/>
        </w:rPr>
        <w:t>#1: Low mobility scenario</w:t>
      </w:r>
    </w:p>
    <w:p w14:paraId="52D67996" w14:textId="77777777" w:rsidR="0056603C" w:rsidRPr="0056603C" w:rsidRDefault="0056603C" w:rsidP="000B0FE3">
      <w:pPr>
        <w:numPr>
          <w:ilvl w:val="1"/>
          <w:numId w:val="43"/>
        </w:numPr>
        <w:spacing w:after="0"/>
        <w:rPr>
          <w:rFonts w:ascii="Times New Roman" w:hAnsi="Times New Roman"/>
          <w:color w:val="C45911" w:themeColor="accent2" w:themeShade="BF"/>
          <w:sz w:val="16"/>
          <w:szCs w:val="16"/>
          <w:lang w:val="en-GB" w:eastAsia="zh-CN"/>
        </w:rPr>
      </w:pPr>
      <w:r w:rsidRPr="0056603C">
        <w:rPr>
          <w:rFonts w:ascii="Times New Roman" w:hAnsi="Times New Roman"/>
          <w:color w:val="C45911" w:themeColor="accent2" w:themeShade="BF"/>
          <w:sz w:val="16"/>
          <w:szCs w:val="16"/>
          <w:lang w:eastAsia="zh-CN"/>
        </w:rPr>
        <w:t xml:space="preserve">#2: Not in cell-edge scenario </w:t>
      </w:r>
    </w:p>
    <w:p w14:paraId="09034D4E" w14:textId="77777777" w:rsidR="0056603C" w:rsidRPr="0056603C" w:rsidRDefault="0056603C" w:rsidP="000B0FE3">
      <w:pPr>
        <w:numPr>
          <w:ilvl w:val="1"/>
          <w:numId w:val="43"/>
        </w:numPr>
        <w:spacing w:after="0"/>
        <w:rPr>
          <w:rFonts w:ascii="Times New Roman" w:hAnsi="Times New Roman"/>
          <w:color w:val="C45911" w:themeColor="accent2" w:themeShade="BF"/>
          <w:sz w:val="16"/>
          <w:szCs w:val="16"/>
          <w:lang w:val="en-GB" w:eastAsia="zh-CN"/>
        </w:rPr>
      </w:pPr>
      <w:r w:rsidRPr="0056603C">
        <w:rPr>
          <w:rFonts w:ascii="Times New Roman" w:hAnsi="Times New Roman"/>
          <w:color w:val="C45911" w:themeColor="accent2" w:themeShade="BF"/>
          <w:sz w:val="16"/>
          <w:szCs w:val="16"/>
          <w:lang w:eastAsia="zh-CN"/>
        </w:rPr>
        <w:t>#3: Low-mobility + Not in cell-edge scenario</w:t>
      </w:r>
    </w:p>
    <w:p w14:paraId="5EB96CB2" w14:textId="77777777" w:rsidR="0056603C" w:rsidRPr="0056603C" w:rsidRDefault="0056603C" w:rsidP="000B0FE3">
      <w:pPr>
        <w:numPr>
          <w:ilvl w:val="0"/>
          <w:numId w:val="43"/>
        </w:numPr>
        <w:spacing w:after="0"/>
        <w:rPr>
          <w:rFonts w:ascii="Times New Roman" w:hAnsi="Times New Roman"/>
          <w:color w:val="C45911" w:themeColor="accent2" w:themeShade="BF"/>
          <w:sz w:val="16"/>
          <w:szCs w:val="16"/>
          <w:lang w:val="en-GB" w:eastAsia="zh-CN"/>
        </w:rPr>
      </w:pPr>
      <w:r w:rsidRPr="0056603C">
        <w:rPr>
          <w:rFonts w:ascii="Times New Roman" w:hAnsi="Times New Roman"/>
          <w:b/>
          <w:bCs/>
          <w:color w:val="C45911" w:themeColor="accent2" w:themeShade="BF"/>
          <w:sz w:val="16"/>
          <w:szCs w:val="16"/>
          <w:lang w:eastAsia="zh-CN"/>
        </w:rPr>
        <w:t>RRM measurement relaxation method:</w:t>
      </w:r>
    </w:p>
    <w:p w14:paraId="0A8BCDD2" w14:textId="77777777" w:rsidR="0056603C" w:rsidRPr="0056603C" w:rsidRDefault="0056603C" w:rsidP="000B0FE3">
      <w:pPr>
        <w:numPr>
          <w:ilvl w:val="1"/>
          <w:numId w:val="43"/>
        </w:numPr>
        <w:spacing w:after="0"/>
        <w:rPr>
          <w:rFonts w:ascii="Times New Roman" w:hAnsi="Times New Roman"/>
          <w:color w:val="C45911" w:themeColor="accent2" w:themeShade="BF"/>
          <w:sz w:val="16"/>
          <w:szCs w:val="16"/>
          <w:lang w:val="en-GB" w:eastAsia="zh-CN"/>
        </w:rPr>
      </w:pPr>
      <w:r w:rsidRPr="0056603C">
        <w:rPr>
          <w:rFonts w:ascii="Times New Roman" w:hAnsi="Times New Roman"/>
          <w:color w:val="C45911" w:themeColor="accent2" w:themeShade="BF"/>
          <w:sz w:val="16"/>
          <w:szCs w:val="16"/>
          <w:lang w:eastAsia="zh-CN"/>
        </w:rPr>
        <w:t xml:space="preserve">Option 1: Allow RRM measurements with longer intervals </w:t>
      </w:r>
    </w:p>
    <w:p w14:paraId="3063AD02" w14:textId="77777777" w:rsidR="0056603C" w:rsidRPr="0056603C" w:rsidRDefault="0056603C" w:rsidP="000B0FE3">
      <w:pPr>
        <w:numPr>
          <w:ilvl w:val="1"/>
          <w:numId w:val="43"/>
        </w:numPr>
        <w:spacing w:after="0"/>
        <w:rPr>
          <w:rFonts w:ascii="Times New Roman" w:hAnsi="Times New Roman"/>
          <w:color w:val="C45911" w:themeColor="accent2" w:themeShade="BF"/>
          <w:sz w:val="16"/>
          <w:szCs w:val="16"/>
          <w:lang w:val="en-GB" w:eastAsia="zh-CN"/>
        </w:rPr>
      </w:pPr>
      <w:r w:rsidRPr="0056603C">
        <w:rPr>
          <w:rFonts w:ascii="Times New Roman" w:hAnsi="Times New Roman"/>
          <w:color w:val="C45911" w:themeColor="accent2" w:themeShade="BF"/>
          <w:sz w:val="16"/>
          <w:szCs w:val="16"/>
          <w:lang w:eastAsia="zh-CN"/>
        </w:rPr>
        <w:t>Option 2: UE is not required to meet the intra-frequency and inter-frequency neighbor cell measurement requirements</w:t>
      </w:r>
    </w:p>
    <w:p w14:paraId="7AF0F6A5" w14:textId="77777777" w:rsidR="0056603C" w:rsidRPr="0056603C" w:rsidRDefault="0056603C" w:rsidP="000B0FE3">
      <w:pPr>
        <w:numPr>
          <w:ilvl w:val="1"/>
          <w:numId w:val="43"/>
        </w:numPr>
        <w:spacing w:after="0"/>
        <w:rPr>
          <w:rFonts w:ascii="Times New Roman" w:hAnsi="Times New Roman"/>
          <w:color w:val="C45911" w:themeColor="accent2" w:themeShade="BF"/>
          <w:sz w:val="16"/>
          <w:szCs w:val="16"/>
          <w:lang w:val="en-GB" w:eastAsia="zh-CN"/>
        </w:rPr>
      </w:pPr>
      <w:r w:rsidRPr="0056603C">
        <w:rPr>
          <w:rFonts w:ascii="Times New Roman" w:hAnsi="Times New Roman"/>
          <w:i/>
          <w:iCs/>
          <w:color w:val="C45911" w:themeColor="accent2" w:themeShade="BF"/>
          <w:sz w:val="16"/>
          <w:szCs w:val="16"/>
          <w:lang w:eastAsia="zh-CN"/>
        </w:rPr>
        <w:t>NOTE: Selection of option 1 or option 2 will depend on the details of the criteria as developed by RAN2.</w:t>
      </w:r>
    </w:p>
    <w:p w14:paraId="09331EBE" w14:textId="77777777" w:rsidR="0056603C" w:rsidRPr="0056603C" w:rsidRDefault="0056603C" w:rsidP="000B0FE3">
      <w:pPr>
        <w:numPr>
          <w:ilvl w:val="0"/>
          <w:numId w:val="43"/>
        </w:numPr>
        <w:spacing w:after="0"/>
        <w:rPr>
          <w:rFonts w:ascii="Times New Roman" w:hAnsi="Times New Roman"/>
          <w:color w:val="C45911" w:themeColor="accent2" w:themeShade="BF"/>
          <w:sz w:val="16"/>
          <w:szCs w:val="16"/>
          <w:lang w:val="en-GB" w:eastAsia="zh-CN"/>
        </w:rPr>
      </w:pPr>
      <w:r w:rsidRPr="0056603C">
        <w:rPr>
          <w:rFonts w:ascii="Times New Roman" w:hAnsi="Times New Roman"/>
          <w:b/>
          <w:bCs/>
          <w:color w:val="C45911" w:themeColor="accent2" w:themeShade="BF"/>
          <w:sz w:val="16"/>
          <w:szCs w:val="16"/>
          <w:lang w:eastAsia="zh-CN"/>
        </w:rPr>
        <w:t>RRM measurement relaxation by reducing the number of frequency layer to be measured is FFS</w:t>
      </w:r>
    </w:p>
    <w:p w14:paraId="092F09D0" w14:textId="77777777" w:rsidR="0056603C" w:rsidRPr="0056603C" w:rsidRDefault="0056603C" w:rsidP="000B0FE3">
      <w:pPr>
        <w:numPr>
          <w:ilvl w:val="0"/>
          <w:numId w:val="43"/>
        </w:numPr>
        <w:spacing w:after="0"/>
        <w:rPr>
          <w:rFonts w:ascii="Times New Roman" w:hAnsi="Times New Roman"/>
          <w:color w:val="C45911" w:themeColor="accent2" w:themeShade="BF"/>
          <w:sz w:val="16"/>
          <w:szCs w:val="16"/>
          <w:lang w:val="en-GB" w:eastAsia="zh-CN"/>
        </w:rPr>
      </w:pPr>
      <w:r w:rsidRPr="0056603C">
        <w:rPr>
          <w:rFonts w:ascii="Times New Roman" w:hAnsi="Times New Roman"/>
          <w:b/>
          <w:bCs/>
          <w:color w:val="C45911" w:themeColor="accent2" w:themeShade="BF"/>
          <w:sz w:val="16"/>
          <w:szCs w:val="16"/>
          <w:lang w:eastAsia="zh-CN"/>
        </w:rPr>
        <w:t>The impact on early measurement reporting due to power saving mode:</w:t>
      </w:r>
    </w:p>
    <w:p w14:paraId="6C98192C" w14:textId="77777777" w:rsidR="0056603C" w:rsidRPr="0056603C" w:rsidRDefault="0056603C" w:rsidP="000B0FE3">
      <w:pPr>
        <w:numPr>
          <w:ilvl w:val="1"/>
          <w:numId w:val="43"/>
        </w:numPr>
        <w:spacing w:after="0"/>
        <w:rPr>
          <w:rFonts w:ascii="Times New Roman" w:hAnsi="Times New Roman"/>
          <w:color w:val="C45911" w:themeColor="accent2" w:themeShade="BF"/>
          <w:sz w:val="16"/>
          <w:szCs w:val="16"/>
          <w:lang w:val="en-GB" w:eastAsia="zh-CN"/>
        </w:rPr>
      </w:pPr>
      <w:r w:rsidRPr="0056603C">
        <w:rPr>
          <w:rFonts w:ascii="Times New Roman" w:hAnsi="Times New Roman"/>
          <w:color w:val="C45911" w:themeColor="accent2" w:themeShade="BF"/>
          <w:sz w:val="16"/>
          <w:szCs w:val="16"/>
          <w:lang w:eastAsia="zh-CN"/>
        </w:rPr>
        <w:t>Option 1: UE is not allowed to relax or enter any relaxed measurement modes (e.g. based on scenarios defined in slide 2) if UE is configured with early measurement reporting (EMR) and T331 timer is running.</w:t>
      </w:r>
    </w:p>
    <w:p w14:paraId="220A980F" w14:textId="533F8185" w:rsidR="0056603C" w:rsidRPr="000B0FE3" w:rsidRDefault="0056603C" w:rsidP="000B0FE3">
      <w:pPr>
        <w:numPr>
          <w:ilvl w:val="1"/>
          <w:numId w:val="43"/>
        </w:numPr>
        <w:spacing w:after="0"/>
        <w:rPr>
          <w:rFonts w:ascii="Times New Roman" w:hAnsi="Times New Roman"/>
          <w:color w:val="C45911" w:themeColor="accent2" w:themeShade="BF"/>
          <w:sz w:val="16"/>
          <w:szCs w:val="16"/>
          <w:lang w:val="en-GB" w:eastAsia="zh-CN"/>
        </w:rPr>
      </w:pPr>
      <w:r w:rsidRPr="0056603C">
        <w:rPr>
          <w:rFonts w:ascii="Times New Roman" w:hAnsi="Times New Roman"/>
          <w:color w:val="C45911" w:themeColor="accent2" w:themeShade="BF"/>
          <w:sz w:val="16"/>
          <w:szCs w:val="16"/>
          <w:lang w:eastAsia="zh-CN"/>
        </w:rPr>
        <w:t>Other options is not precluded</w:t>
      </w:r>
    </w:p>
    <w:p w14:paraId="4658ADEC" w14:textId="77777777" w:rsidR="0056603C" w:rsidRPr="0056603C" w:rsidRDefault="0056603C" w:rsidP="000B0FE3">
      <w:pPr>
        <w:spacing w:after="0"/>
        <w:ind w:left="1077"/>
        <w:rPr>
          <w:rFonts w:ascii="Times New Roman" w:hAnsi="Times New Roman"/>
          <w:color w:val="C45911" w:themeColor="accent2" w:themeShade="BF"/>
          <w:sz w:val="16"/>
          <w:szCs w:val="16"/>
          <w:lang w:val="en-GB" w:eastAsia="zh-CN"/>
        </w:rPr>
      </w:pPr>
    </w:p>
    <w:tbl>
      <w:tblPr>
        <w:tblW w:w="4432" w:type="dxa"/>
        <w:jc w:val="center"/>
        <w:tblCellMar>
          <w:left w:w="0" w:type="dxa"/>
          <w:right w:w="0" w:type="dxa"/>
        </w:tblCellMar>
        <w:tblLook w:val="0420" w:firstRow="1" w:lastRow="0" w:firstColumn="0" w:lastColumn="0" w:noHBand="0" w:noVBand="1"/>
      </w:tblPr>
      <w:tblGrid>
        <w:gridCol w:w="1419"/>
        <w:gridCol w:w="3013"/>
      </w:tblGrid>
      <w:tr w:rsidR="000B0FE3" w:rsidRPr="000B0FE3" w14:paraId="2EF11A98" w14:textId="77777777" w:rsidTr="00891CF6">
        <w:trPr>
          <w:trHeight w:hRule="exact" w:val="284"/>
          <w:jc w:val="center"/>
        </w:trPr>
        <w:tc>
          <w:tcPr>
            <w:tcW w:w="14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C67AA6" w14:textId="77777777" w:rsidR="0056603C" w:rsidRPr="0056603C" w:rsidRDefault="0056603C" w:rsidP="00891CF6">
            <w:pPr>
              <w:spacing w:after="0"/>
              <w:rPr>
                <w:rFonts w:ascii="Times New Roman" w:hAnsi="Times New Roman"/>
                <w:b/>
                <w:bCs/>
                <w:color w:val="C45911" w:themeColor="accent2" w:themeShade="BF"/>
                <w:sz w:val="16"/>
                <w:szCs w:val="16"/>
                <w:lang w:val="en-GB" w:eastAsia="zh-CN"/>
              </w:rPr>
            </w:pPr>
          </w:p>
        </w:tc>
        <w:tc>
          <w:tcPr>
            <w:tcW w:w="30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5C1DD3" w14:textId="77777777" w:rsidR="0056603C" w:rsidRPr="0056603C" w:rsidRDefault="0056603C" w:rsidP="00891CF6">
            <w:pPr>
              <w:spacing w:after="0"/>
              <w:rPr>
                <w:rFonts w:ascii="Times New Roman" w:hAnsi="Times New Roman"/>
                <w:b/>
                <w:bCs/>
                <w:color w:val="C45911" w:themeColor="accent2" w:themeShade="BF"/>
                <w:sz w:val="16"/>
                <w:szCs w:val="16"/>
                <w:lang w:val="en-GB" w:eastAsia="zh-CN"/>
              </w:rPr>
            </w:pPr>
            <w:r w:rsidRPr="0056603C">
              <w:rPr>
                <w:rFonts w:ascii="Times New Roman" w:hAnsi="Times New Roman"/>
                <w:b/>
                <w:bCs/>
                <w:color w:val="C45911" w:themeColor="accent2" w:themeShade="BF"/>
                <w:sz w:val="16"/>
                <w:szCs w:val="16"/>
                <w:lang w:eastAsia="zh-CN"/>
              </w:rPr>
              <w:t>Applicable RRM relaxation methods</w:t>
            </w:r>
          </w:p>
        </w:tc>
      </w:tr>
      <w:tr w:rsidR="000B0FE3" w:rsidRPr="0056603C" w14:paraId="5A507AEB" w14:textId="77777777" w:rsidTr="00891CF6">
        <w:trPr>
          <w:trHeight w:hRule="exact" w:val="284"/>
          <w:jc w:val="center"/>
        </w:trPr>
        <w:tc>
          <w:tcPr>
            <w:tcW w:w="14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960545" w14:textId="77777777" w:rsidR="0056603C" w:rsidRPr="0056603C" w:rsidRDefault="0056603C" w:rsidP="00891CF6">
            <w:pPr>
              <w:spacing w:after="0"/>
              <w:rPr>
                <w:rFonts w:ascii="Times New Roman" w:hAnsi="Times New Roman"/>
                <w:color w:val="C45911" w:themeColor="accent2" w:themeShade="BF"/>
                <w:sz w:val="16"/>
                <w:szCs w:val="16"/>
                <w:lang w:val="en-GB" w:eastAsia="zh-CN"/>
              </w:rPr>
            </w:pPr>
            <w:r w:rsidRPr="0056603C">
              <w:rPr>
                <w:rFonts w:ascii="Times New Roman" w:hAnsi="Times New Roman"/>
                <w:color w:val="C45911" w:themeColor="accent2" w:themeShade="BF"/>
                <w:sz w:val="16"/>
                <w:szCs w:val="16"/>
                <w:lang w:eastAsia="zh-CN"/>
              </w:rPr>
              <w:t>Scenarios #1</w:t>
            </w:r>
          </w:p>
        </w:tc>
        <w:tc>
          <w:tcPr>
            <w:tcW w:w="30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550FEC" w14:textId="77777777" w:rsidR="0056603C" w:rsidRPr="0056603C" w:rsidRDefault="0056603C" w:rsidP="00891CF6">
            <w:pPr>
              <w:spacing w:after="0"/>
              <w:rPr>
                <w:rFonts w:ascii="Times New Roman" w:hAnsi="Times New Roman"/>
                <w:color w:val="C45911" w:themeColor="accent2" w:themeShade="BF"/>
                <w:sz w:val="16"/>
                <w:szCs w:val="16"/>
                <w:lang w:val="en-GB" w:eastAsia="zh-CN"/>
              </w:rPr>
            </w:pPr>
            <w:r w:rsidRPr="0056603C">
              <w:rPr>
                <w:rFonts w:ascii="Times New Roman" w:hAnsi="Times New Roman"/>
                <w:color w:val="C45911" w:themeColor="accent2" w:themeShade="BF"/>
                <w:sz w:val="16"/>
                <w:szCs w:val="16"/>
                <w:lang w:eastAsia="zh-CN"/>
              </w:rPr>
              <w:t xml:space="preserve">FFS: </w:t>
            </w:r>
            <w:r w:rsidRPr="0056603C">
              <w:rPr>
                <w:rFonts w:ascii="Times New Roman" w:hAnsi="Times New Roman"/>
                <w:color w:val="C45911" w:themeColor="accent2" w:themeShade="BF"/>
                <w:sz w:val="16"/>
                <w:szCs w:val="16"/>
                <w:lang w:val="en-GB" w:eastAsia="zh-CN"/>
              </w:rPr>
              <w:t>Option 1 and/or 2</w:t>
            </w:r>
          </w:p>
        </w:tc>
      </w:tr>
      <w:tr w:rsidR="000B0FE3" w:rsidRPr="0056603C" w14:paraId="6ABD0EAE" w14:textId="77777777" w:rsidTr="00891CF6">
        <w:trPr>
          <w:trHeight w:hRule="exact" w:val="284"/>
          <w:jc w:val="center"/>
        </w:trPr>
        <w:tc>
          <w:tcPr>
            <w:tcW w:w="14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886D53" w14:textId="77777777" w:rsidR="0056603C" w:rsidRPr="0056603C" w:rsidRDefault="0056603C" w:rsidP="00891CF6">
            <w:pPr>
              <w:spacing w:after="0"/>
              <w:rPr>
                <w:rFonts w:ascii="Times New Roman" w:hAnsi="Times New Roman"/>
                <w:color w:val="C45911" w:themeColor="accent2" w:themeShade="BF"/>
                <w:sz w:val="16"/>
                <w:szCs w:val="16"/>
                <w:lang w:val="en-GB" w:eastAsia="zh-CN"/>
              </w:rPr>
            </w:pPr>
            <w:r w:rsidRPr="0056603C">
              <w:rPr>
                <w:rFonts w:ascii="Times New Roman" w:hAnsi="Times New Roman"/>
                <w:color w:val="C45911" w:themeColor="accent2" w:themeShade="BF"/>
                <w:sz w:val="16"/>
                <w:szCs w:val="16"/>
                <w:lang w:eastAsia="zh-CN"/>
              </w:rPr>
              <w:t>Scenarios #2</w:t>
            </w:r>
          </w:p>
        </w:tc>
        <w:tc>
          <w:tcPr>
            <w:tcW w:w="30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D6FD37" w14:textId="77777777" w:rsidR="0056603C" w:rsidRPr="0056603C" w:rsidRDefault="0056603C" w:rsidP="00891CF6">
            <w:pPr>
              <w:spacing w:after="0"/>
              <w:rPr>
                <w:rFonts w:ascii="Times New Roman" w:hAnsi="Times New Roman"/>
                <w:color w:val="C45911" w:themeColor="accent2" w:themeShade="BF"/>
                <w:sz w:val="16"/>
                <w:szCs w:val="16"/>
                <w:lang w:val="en-GB" w:eastAsia="zh-CN"/>
              </w:rPr>
            </w:pPr>
            <w:r w:rsidRPr="0056603C">
              <w:rPr>
                <w:rFonts w:ascii="Times New Roman" w:hAnsi="Times New Roman"/>
                <w:color w:val="C45911" w:themeColor="accent2" w:themeShade="BF"/>
                <w:sz w:val="16"/>
                <w:szCs w:val="16"/>
                <w:lang w:eastAsia="zh-CN"/>
              </w:rPr>
              <w:t xml:space="preserve">FFS: </w:t>
            </w:r>
            <w:r w:rsidRPr="0056603C">
              <w:rPr>
                <w:rFonts w:ascii="Times New Roman" w:hAnsi="Times New Roman"/>
                <w:color w:val="C45911" w:themeColor="accent2" w:themeShade="BF"/>
                <w:sz w:val="16"/>
                <w:szCs w:val="16"/>
                <w:lang w:val="en-GB" w:eastAsia="zh-CN"/>
              </w:rPr>
              <w:t>Option 1 and/or 2</w:t>
            </w:r>
          </w:p>
        </w:tc>
      </w:tr>
      <w:tr w:rsidR="000B0FE3" w:rsidRPr="0056603C" w14:paraId="7BBE455C" w14:textId="77777777" w:rsidTr="00891CF6">
        <w:trPr>
          <w:trHeight w:hRule="exact" w:val="284"/>
          <w:jc w:val="center"/>
        </w:trPr>
        <w:tc>
          <w:tcPr>
            <w:tcW w:w="14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E91208" w14:textId="77777777" w:rsidR="0056603C" w:rsidRPr="0056603C" w:rsidRDefault="0056603C" w:rsidP="00891CF6">
            <w:pPr>
              <w:spacing w:after="0"/>
              <w:rPr>
                <w:rFonts w:ascii="Times New Roman" w:hAnsi="Times New Roman"/>
                <w:color w:val="C45911" w:themeColor="accent2" w:themeShade="BF"/>
                <w:sz w:val="16"/>
                <w:szCs w:val="16"/>
                <w:lang w:val="en-GB" w:eastAsia="zh-CN"/>
              </w:rPr>
            </w:pPr>
            <w:r w:rsidRPr="0056603C">
              <w:rPr>
                <w:rFonts w:ascii="Times New Roman" w:hAnsi="Times New Roman"/>
                <w:color w:val="C45911" w:themeColor="accent2" w:themeShade="BF"/>
                <w:sz w:val="16"/>
                <w:szCs w:val="16"/>
                <w:lang w:eastAsia="zh-CN"/>
              </w:rPr>
              <w:t>Scenarios #3</w:t>
            </w:r>
          </w:p>
        </w:tc>
        <w:tc>
          <w:tcPr>
            <w:tcW w:w="30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65C188" w14:textId="77777777" w:rsidR="0056603C" w:rsidRPr="0056603C" w:rsidRDefault="0056603C" w:rsidP="00891CF6">
            <w:pPr>
              <w:spacing w:after="0"/>
              <w:rPr>
                <w:rFonts w:ascii="Times New Roman" w:hAnsi="Times New Roman"/>
                <w:color w:val="C45911" w:themeColor="accent2" w:themeShade="BF"/>
                <w:sz w:val="16"/>
                <w:szCs w:val="16"/>
                <w:lang w:val="en-GB" w:eastAsia="zh-CN"/>
              </w:rPr>
            </w:pPr>
            <w:r w:rsidRPr="0056603C">
              <w:rPr>
                <w:rFonts w:ascii="Times New Roman" w:hAnsi="Times New Roman"/>
                <w:color w:val="C45911" w:themeColor="accent2" w:themeShade="BF"/>
                <w:sz w:val="16"/>
                <w:szCs w:val="16"/>
                <w:lang w:eastAsia="zh-CN"/>
              </w:rPr>
              <w:t>Option 2</w:t>
            </w:r>
          </w:p>
        </w:tc>
      </w:tr>
    </w:tbl>
    <w:p w14:paraId="33EDBD0D" w14:textId="77777777" w:rsidR="0056603C" w:rsidRDefault="0056603C" w:rsidP="00966D74">
      <w:pPr>
        <w:rPr>
          <w:lang w:val="en-GB" w:eastAsia="zh-CN"/>
        </w:rPr>
      </w:pPr>
    </w:p>
    <w:p w14:paraId="7D6708F3" w14:textId="014A52E6" w:rsidR="00B8781B" w:rsidRPr="00B8781B" w:rsidRDefault="00B8781B" w:rsidP="00B8781B">
      <w:pPr>
        <w:rPr>
          <w:lang w:val="en-GB" w:eastAsia="zh-CN"/>
        </w:rPr>
      </w:pPr>
      <w:r>
        <w:rPr>
          <w:lang w:val="en-GB" w:eastAsia="zh-CN"/>
        </w:rPr>
        <w:t xml:space="preserve">RAN2 informed RAN4 about their agreements for </w:t>
      </w:r>
      <w:r w:rsidRPr="00AC213C">
        <w:rPr>
          <w:rFonts w:cs="Arial"/>
          <w:lang w:eastAsia="zh-CN"/>
        </w:rPr>
        <w:t>“low mobility” and “not-at-cell-edge”</w:t>
      </w:r>
      <w:r>
        <w:rPr>
          <w:rFonts w:cs="Arial"/>
          <w:lang w:eastAsia="zh-CN"/>
        </w:rPr>
        <w:t xml:space="preserve"> RRM relaxation</w:t>
      </w:r>
      <w:r w:rsidR="000B0FE3">
        <w:rPr>
          <w:rFonts w:cs="Arial"/>
          <w:lang w:eastAsia="zh-CN"/>
        </w:rPr>
        <w:t xml:space="preserve"> [2]</w:t>
      </w:r>
      <w:r>
        <w:rPr>
          <w:rFonts w:cs="Arial"/>
          <w:lang w:eastAsia="zh-CN"/>
        </w:rPr>
        <w:t xml:space="preserve">. </w:t>
      </w:r>
    </w:p>
    <w:p w14:paraId="57413833" w14:textId="1446E102" w:rsidR="00966D74" w:rsidRDefault="00966D74" w:rsidP="00966D74">
      <w:pPr>
        <w:rPr>
          <w:lang w:val="en-GB" w:eastAsia="zh-CN"/>
        </w:rPr>
      </w:pPr>
      <w:bookmarkStart w:id="1" w:name="_Hlk32209981"/>
      <w:r>
        <w:rPr>
          <w:lang w:val="en-GB" w:eastAsia="zh-CN"/>
        </w:rPr>
        <w:t xml:space="preserve">RAN2 agreed to have email discussions on the running CRs </w:t>
      </w:r>
      <w:r w:rsidR="00F90B79">
        <w:rPr>
          <w:lang w:val="en-GB" w:eastAsia="zh-CN"/>
        </w:rPr>
        <w:t>f</w:t>
      </w:r>
      <w:r>
        <w:rPr>
          <w:lang w:val="en-GB" w:eastAsia="zh-CN"/>
        </w:rPr>
        <w:t>or 38.331, 38.3</w:t>
      </w:r>
      <w:r w:rsidR="00F90B79">
        <w:rPr>
          <w:lang w:val="en-GB" w:eastAsia="zh-CN"/>
        </w:rPr>
        <w:t>04</w:t>
      </w:r>
      <w:r>
        <w:rPr>
          <w:lang w:val="en-GB" w:eastAsia="zh-CN"/>
        </w:rPr>
        <w:t xml:space="preserve"> and 38.30</w:t>
      </w:r>
      <w:r w:rsidR="00F90B79">
        <w:rPr>
          <w:lang w:val="en-GB" w:eastAsia="zh-CN"/>
        </w:rPr>
        <w:t>0</w:t>
      </w:r>
      <w:r>
        <w:rPr>
          <w:lang w:val="en-GB" w:eastAsia="zh-CN"/>
        </w:rPr>
        <w:t xml:space="preserve"> </w:t>
      </w:r>
      <w:r w:rsidR="00F90B79">
        <w:rPr>
          <w:lang w:val="en-GB" w:eastAsia="zh-CN"/>
        </w:rPr>
        <w:t>that also capture RRM relaxation agreements. T</w:t>
      </w:r>
      <w:r>
        <w:rPr>
          <w:lang w:val="en-GB" w:eastAsia="zh-CN"/>
        </w:rPr>
        <w:t xml:space="preserve">here is a </w:t>
      </w:r>
      <w:r w:rsidR="00F90B79">
        <w:rPr>
          <w:lang w:val="en-GB" w:eastAsia="zh-CN"/>
        </w:rPr>
        <w:t>p</w:t>
      </w:r>
      <w:r>
        <w:rPr>
          <w:lang w:val="en-GB" w:eastAsia="zh-CN"/>
        </w:rPr>
        <w:t xml:space="preserve">hase 1 capturing RAN2#108 agreements, and </w:t>
      </w:r>
      <w:r w:rsidR="00F90B79">
        <w:rPr>
          <w:lang w:val="en-GB" w:eastAsia="zh-CN"/>
        </w:rPr>
        <w:t xml:space="preserve">a </w:t>
      </w:r>
      <w:r>
        <w:rPr>
          <w:lang w:val="en-GB" w:eastAsia="zh-CN"/>
        </w:rPr>
        <w:t>phase 2 captur</w:t>
      </w:r>
      <w:r w:rsidR="00F90B79">
        <w:rPr>
          <w:lang w:val="en-GB" w:eastAsia="zh-CN"/>
        </w:rPr>
        <w:t>ing</w:t>
      </w:r>
      <w:r>
        <w:rPr>
          <w:lang w:val="en-GB" w:eastAsia="zh-CN"/>
        </w:rPr>
        <w:t xml:space="preserve"> open issues </w:t>
      </w:r>
      <w:r w:rsidR="00F90B79">
        <w:rPr>
          <w:lang w:val="en-GB" w:eastAsia="zh-CN"/>
        </w:rPr>
        <w:t xml:space="preserve">and a </w:t>
      </w:r>
      <w:r>
        <w:rPr>
          <w:lang w:val="en-GB" w:eastAsia="zh-CN"/>
        </w:rPr>
        <w:t xml:space="preserve">with possible way forward: </w:t>
      </w:r>
    </w:p>
    <w:bookmarkEnd w:id="1"/>
    <w:p w14:paraId="7C15E400" w14:textId="77777777" w:rsidR="00966D74" w:rsidRPr="004524DD" w:rsidRDefault="00966D74" w:rsidP="00966D74">
      <w:pPr>
        <w:numPr>
          <w:ilvl w:val="0"/>
          <w:numId w:val="41"/>
        </w:numPr>
        <w:spacing w:after="0"/>
        <w:rPr>
          <w:rFonts w:ascii="Times New Roman" w:hAnsi="Times New Roman"/>
          <w:color w:val="C45911" w:themeColor="accent2" w:themeShade="BF"/>
          <w:lang w:val="en-GB" w:eastAsia="zh-CN"/>
        </w:rPr>
      </w:pPr>
      <w:r w:rsidRPr="004524DD">
        <w:rPr>
          <w:rFonts w:ascii="Times New Roman" w:hAnsi="Times New Roman"/>
          <w:color w:val="C45911" w:themeColor="accent2" w:themeShade="BF"/>
          <w:lang w:val="en-GB" w:eastAsia="zh-CN"/>
        </w:rPr>
        <w:t>[108#39][Power Saving] Running 38.331 (Mediatek)</w:t>
      </w:r>
    </w:p>
    <w:p w14:paraId="0E6E8AC8" w14:textId="3ABA0562" w:rsidR="00966D74" w:rsidRPr="004524DD" w:rsidRDefault="00966D74" w:rsidP="00966D74">
      <w:pPr>
        <w:numPr>
          <w:ilvl w:val="0"/>
          <w:numId w:val="41"/>
        </w:numPr>
        <w:spacing w:after="0"/>
        <w:rPr>
          <w:rFonts w:ascii="Times New Roman" w:hAnsi="Times New Roman"/>
          <w:color w:val="C45911" w:themeColor="accent2" w:themeShade="BF"/>
          <w:lang w:val="en-GB" w:eastAsia="zh-CN"/>
        </w:rPr>
      </w:pPr>
      <w:r w:rsidRPr="004524DD">
        <w:rPr>
          <w:rFonts w:ascii="Times New Roman" w:hAnsi="Times New Roman"/>
          <w:color w:val="C45911" w:themeColor="accent2" w:themeShade="BF"/>
          <w:lang w:val="en-GB" w:eastAsia="zh-CN"/>
        </w:rPr>
        <w:t>[108#79][Power Saving] Running 38.304 (Vivo)</w:t>
      </w:r>
    </w:p>
    <w:p w14:paraId="41CEE06A" w14:textId="77777777" w:rsidR="00966D74" w:rsidRPr="004524DD" w:rsidRDefault="00966D74" w:rsidP="00593DF1">
      <w:pPr>
        <w:numPr>
          <w:ilvl w:val="0"/>
          <w:numId w:val="41"/>
        </w:numPr>
        <w:ind w:left="714" w:hanging="357"/>
        <w:rPr>
          <w:rFonts w:ascii="Times New Roman" w:hAnsi="Times New Roman"/>
          <w:color w:val="C45911" w:themeColor="accent2" w:themeShade="BF"/>
          <w:lang w:val="en-GB" w:eastAsia="zh-CN"/>
        </w:rPr>
      </w:pPr>
      <w:r w:rsidRPr="004524DD">
        <w:rPr>
          <w:rFonts w:ascii="Times New Roman" w:hAnsi="Times New Roman"/>
          <w:color w:val="C45911" w:themeColor="accent2" w:themeShade="BF"/>
          <w:lang w:val="en-GB" w:eastAsia="zh-CN"/>
        </w:rPr>
        <w:lastRenderedPageBreak/>
        <w:t>[108#80][Power Saving] Running 38.300 (CATT)</w:t>
      </w:r>
    </w:p>
    <w:p w14:paraId="3FDE6CE4" w14:textId="0C3F3445" w:rsidR="00966D74" w:rsidRPr="00211905" w:rsidRDefault="00966D74" w:rsidP="00966D74">
      <w:pPr>
        <w:rPr>
          <w:lang w:val="en-GB" w:eastAsia="zh-CN"/>
        </w:rPr>
      </w:pPr>
      <w:r>
        <w:rPr>
          <w:lang w:val="en-GB" w:eastAsia="zh-CN"/>
        </w:rPr>
        <w:t xml:space="preserve">In this contribution the open issues for </w:t>
      </w:r>
      <w:r w:rsidR="00F90B79">
        <w:rPr>
          <w:lang w:val="en-GB" w:eastAsia="zh-CN"/>
        </w:rPr>
        <w:t>RRM relaxation</w:t>
      </w:r>
      <w:r>
        <w:rPr>
          <w:lang w:val="en-GB" w:eastAsia="zh-CN"/>
        </w:rPr>
        <w:t xml:space="preserve"> are discussed</w:t>
      </w:r>
      <w:r w:rsidR="00F90B79">
        <w:rPr>
          <w:lang w:val="en-GB" w:eastAsia="zh-CN"/>
        </w:rPr>
        <w:t xml:space="preserve"> further</w:t>
      </w:r>
      <w:r>
        <w:rPr>
          <w:lang w:val="en-GB" w:eastAsia="zh-CN"/>
        </w:rPr>
        <w:t>.</w:t>
      </w:r>
    </w:p>
    <w:p w14:paraId="1DEB3AB7" w14:textId="15607568" w:rsidR="00FA27C0" w:rsidRDefault="009D725A" w:rsidP="00FA27C0">
      <w:pPr>
        <w:pStyle w:val="Heading1"/>
      </w:pPr>
      <w:bookmarkStart w:id="2" w:name="_Toc242573354"/>
      <w:r>
        <w:t>Discussion</w:t>
      </w:r>
      <w:bookmarkEnd w:id="2"/>
    </w:p>
    <w:p w14:paraId="3084D3D9" w14:textId="3E13EDB6" w:rsidR="00083928" w:rsidRDefault="005513CC" w:rsidP="00083928">
      <w:pPr>
        <w:rPr>
          <w:lang w:val="en-GB" w:eastAsia="zh-CN"/>
        </w:rPr>
      </w:pPr>
      <w:r>
        <w:rPr>
          <w:lang w:val="en-GB" w:eastAsia="zh-CN"/>
        </w:rPr>
        <w:t xml:space="preserve">RAN2 agreed to introduce measurement relaxation based on </w:t>
      </w:r>
      <w:r w:rsidR="007A039B">
        <w:rPr>
          <w:lang w:val="en-GB" w:eastAsia="zh-CN"/>
        </w:rPr>
        <w:t>“</w:t>
      </w:r>
      <w:r>
        <w:rPr>
          <w:lang w:val="en-GB" w:eastAsia="zh-CN"/>
        </w:rPr>
        <w:t>low mobility</w:t>
      </w:r>
      <w:r w:rsidR="007A039B">
        <w:rPr>
          <w:lang w:val="en-GB" w:eastAsia="zh-CN"/>
        </w:rPr>
        <w:t>”</w:t>
      </w:r>
      <w:r>
        <w:rPr>
          <w:lang w:val="en-GB" w:eastAsia="zh-CN"/>
        </w:rPr>
        <w:t xml:space="preserve"> and </w:t>
      </w:r>
      <w:r w:rsidR="007A039B">
        <w:rPr>
          <w:lang w:val="en-GB" w:eastAsia="zh-CN"/>
        </w:rPr>
        <w:t>“</w:t>
      </w:r>
      <w:r>
        <w:rPr>
          <w:lang w:val="en-GB" w:eastAsia="zh-CN"/>
        </w:rPr>
        <w:t>not at cell edge</w:t>
      </w:r>
      <w:r w:rsidR="007A039B">
        <w:rPr>
          <w:lang w:val="en-GB" w:eastAsia="zh-CN"/>
        </w:rPr>
        <w:t>” trigger</w:t>
      </w:r>
      <w:r w:rsidR="00F61C33">
        <w:rPr>
          <w:lang w:val="en-GB" w:eastAsia="zh-CN"/>
        </w:rPr>
        <w:t>, i.e. when the relaxed monitoring criterion is met the UE may relax needed measurements</w:t>
      </w:r>
      <w:r w:rsidR="007A039B">
        <w:rPr>
          <w:lang w:val="en-GB" w:eastAsia="zh-CN"/>
        </w:rPr>
        <w:t xml:space="preserve"> (see </w:t>
      </w:r>
      <w:r w:rsidR="00AF334D">
        <w:rPr>
          <w:lang w:val="en-GB" w:eastAsia="zh-CN"/>
        </w:rPr>
        <w:t>measurement rules in section 5.2.4.2 in 38.304)</w:t>
      </w:r>
      <w:r w:rsidR="00F61C33">
        <w:rPr>
          <w:lang w:val="en-GB" w:eastAsia="zh-CN"/>
        </w:rPr>
        <w:t xml:space="preserve">: </w:t>
      </w:r>
    </w:p>
    <w:p w14:paraId="38DF58B1" w14:textId="060B1197" w:rsidR="008443BA" w:rsidRDefault="005513CC" w:rsidP="00083928">
      <w:pPr>
        <w:rPr>
          <w:lang w:val="en-GB" w:eastAsia="zh-CN"/>
        </w:rPr>
      </w:pPr>
      <w:r w:rsidRPr="005513CC">
        <w:rPr>
          <w:b/>
          <w:bCs/>
          <w:lang w:val="en-GB" w:eastAsia="zh-CN"/>
        </w:rPr>
        <w:t>Proposal 1</w:t>
      </w:r>
      <w:r>
        <w:rPr>
          <w:lang w:val="en-GB" w:eastAsia="zh-CN"/>
        </w:rPr>
        <w:t xml:space="preserve">: </w:t>
      </w:r>
      <w:r w:rsidR="008B5081">
        <w:rPr>
          <w:lang w:val="en-GB" w:eastAsia="zh-CN"/>
        </w:rPr>
        <w:t>UE shall not un-conditionally</w:t>
      </w:r>
      <w:r w:rsidR="00CE54A1">
        <w:rPr>
          <w:lang w:val="en-GB" w:eastAsia="zh-CN"/>
        </w:rPr>
        <w:t>, i.e. when relaxed criterion is not fulfilled,</w:t>
      </w:r>
      <w:r w:rsidR="008B5081">
        <w:rPr>
          <w:lang w:val="en-GB" w:eastAsia="zh-CN"/>
        </w:rPr>
        <w:t xml:space="preserve"> relax </w:t>
      </w:r>
      <w:r w:rsidR="008443BA">
        <w:rPr>
          <w:lang w:val="en-GB" w:eastAsia="zh-CN"/>
        </w:rPr>
        <w:t>needed measurements</w:t>
      </w:r>
      <w:r w:rsidR="00250157">
        <w:rPr>
          <w:lang w:val="en-GB" w:eastAsia="zh-CN"/>
        </w:rPr>
        <w:t>, as specified in section 5.2.4.2 in 38.304</w:t>
      </w:r>
      <w:r w:rsidR="008443BA">
        <w:rPr>
          <w:lang w:val="en-GB" w:eastAsia="zh-CN"/>
        </w:rPr>
        <w:t>:</w:t>
      </w:r>
    </w:p>
    <w:p w14:paraId="37BF7328" w14:textId="13A7EFCC" w:rsidR="008443BA" w:rsidRDefault="008443BA" w:rsidP="008443BA">
      <w:pPr>
        <w:pStyle w:val="ListParagraph"/>
        <w:numPr>
          <w:ilvl w:val="0"/>
          <w:numId w:val="47"/>
        </w:numPr>
        <w:rPr>
          <w:lang w:val="en-GB" w:eastAsia="zh-CN"/>
        </w:rPr>
      </w:pPr>
      <w:r w:rsidRPr="008443BA">
        <w:rPr>
          <w:lang w:val="en-GB" w:eastAsia="zh-CN"/>
        </w:rPr>
        <w:t xml:space="preserve">Intra-frequency measurements when below </w:t>
      </w:r>
      <w:r w:rsidR="00381FAA">
        <w:rPr>
          <w:lang w:val="en-GB" w:eastAsia="zh-CN"/>
        </w:rPr>
        <w:t xml:space="preserve">intra-frequency </w:t>
      </w:r>
      <w:r w:rsidRPr="008443BA">
        <w:rPr>
          <w:lang w:val="en-GB" w:eastAsia="zh-CN"/>
        </w:rPr>
        <w:t>measurement threshold</w:t>
      </w:r>
    </w:p>
    <w:p w14:paraId="48017588" w14:textId="372B1A23" w:rsidR="008443BA" w:rsidRDefault="008443BA" w:rsidP="008443BA">
      <w:pPr>
        <w:pStyle w:val="ListParagraph"/>
        <w:numPr>
          <w:ilvl w:val="0"/>
          <w:numId w:val="47"/>
        </w:numPr>
        <w:rPr>
          <w:lang w:val="en-GB" w:eastAsia="zh-CN"/>
        </w:rPr>
      </w:pPr>
      <w:r>
        <w:rPr>
          <w:lang w:val="en-GB" w:eastAsia="zh-CN"/>
        </w:rPr>
        <w:t xml:space="preserve">Inter-frequency measurements </w:t>
      </w:r>
      <w:r w:rsidR="00FC5F4A">
        <w:rPr>
          <w:lang w:val="en-GB" w:eastAsia="zh-CN"/>
        </w:rPr>
        <w:t xml:space="preserve">on all priority layers when below </w:t>
      </w:r>
      <w:r w:rsidR="00381FAA">
        <w:rPr>
          <w:lang w:val="en-GB" w:eastAsia="zh-CN"/>
        </w:rPr>
        <w:t xml:space="preserve">inter-frequency </w:t>
      </w:r>
      <w:r w:rsidR="00FC5F4A">
        <w:rPr>
          <w:lang w:val="en-GB" w:eastAsia="zh-CN"/>
        </w:rPr>
        <w:t>measurement threshold</w:t>
      </w:r>
    </w:p>
    <w:p w14:paraId="6D4E9E5B" w14:textId="236488DE" w:rsidR="00FC5F4A" w:rsidRPr="008443BA" w:rsidRDefault="00FC5F4A" w:rsidP="008443BA">
      <w:pPr>
        <w:pStyle w:val="ListParagraph"/>
        <w:numPr>
          <w:ilvl w:val="0"/>
          <w:numId w:val="47"/>
        </w:numPr>
        <w:rPr>
          <w:lang w:val="en-GB" w:eastAsia="zh-CN"/>
        </w:rPr>
      </w:pPr>
      <w:r>
        <w:rPr>
          <w:lang w:val="en-GB" w:eastAsia="zh-CN"/>
        </w:rPr>
        <w:t xml:space="preserve">Higher priority inter-frequency measurements every </w:t>
      </w:r>
      <w:r w:rsidR="00E803CA">
        <w:t>T</w:t>
      </w:r>
      <w:r w:rsidR="00E803CA">
        <w:rPr>
          <w:sz w:val="21"/>
          <w:szCs w:val="21"/>
          <w:vertAlign w:val="subscript"/>
        </w:rPr>
        <w:t>higher_priority_search</w:t>
      </w:r>
      <w:r w:rsidR="00E803CA">
        <w:t> </w:t>
      </w:r>
      <w:r w:rsidR="00381FAA">
        <w:rPr>
          <w:lang w:val="en-GB" w:eastAsia="zh-CN"/>
        </w:rPr>
        <w:t>when above inter-frequency measurement threshold</w:t>
      </w:r>
    </w:p>
    <w:p w14:paraId="4E1CBBF5" w14:textId="01D2A89C" w:rsidR="0014145F" w:rsidRDefault="0014145F" w:rsidP="00083928">
      <w:pPr>
        <w:rPr>
          <w:lang w:val="en-GB" w:eastAsia="zh-CN"/>
        </w:rPr>
      </w:pPr>
      <w:r>
        <w:rPr>
          <w:lang w:val="en-GB" w:eastAsia="zh-CN"/>
        </w:rPr>
        <w:t xml:space="preserve">The UE is required to perform measurements on higher priority </w:t>
      </w:r>
      <w:r w:rsidR="009136D1">
        <w:rPr>
          <w:lang w:val="en-GB" w:eastAsia="zh-CN"/>
        </w:rPr>
        <w:t xml:space="preserve">frequencies at least </w:t>
      </w:r>
      <w:r w:rsidR="00E803CA">
        <w:t>T</w:t>
      </w:r>
      <w:r w:rsidR="00E803CA">
        <w:rPr>
          <w:sz w:val="21"/>
          <w:szCs w:val="21"/>
          <w:vertAlign w:val="subscript"/>
        </w:rPr>
        <w:t>higher_priority_search</w:t>
      </w:r>
      <w:r w:rsidR="009136D1">
        <w:rPr>
          <w:lang w:val="en-GB" w:eastAsia="zh-CN"/>
        </w:rPr>
        <w:t xml:space="preserve"> independent</w:t>
      </w:r>
      <w:r w:rsidR="006B7B9D">
        <w:rPr>
          <w:lang w:val="en-GB" w:eastAsia="zh-CN"/>
        </w:rPr>
        <w:t xml:space="preserve">. Such measurements are needed for load balancing </w:t>
      </w:r>
      <w:r w:rsidR="00B91DA1">
        <w:rPr>
          <w:lang w:val="en-GB" w:eastAsia="zh-CN"/>
        </w:rPr>
        <w:t xml:space="preserve">and shall not be relaxed: </w:t>
      </w:r>
    </w:p>
    <w:p w14:paraId="40A4CAEF" w14:textId="7018C88C" w:rsidR="00B91DA1" w:rsidRPr="00B91DA1" w:rsidRDefault="00B91DA1" w:rsidP="00083928">
      <w:pPr>
        <w:rPr>
          <w:lang w:val="en-GB" w:eastAsia="zh-CN"/>
        </w:rPr>
      </w:pPr>
      <w:r w:rsidRPr="00B91DA1">
        <w:rPr>
          <w:b/>
          <w:bCs/>
          <w:lang w:val="en-GB" w:eastAsia="zh-CN"/>
        </w:rPr>
        <w:t>Proposal 2</w:t>
      </w:r>
      <w:r>
        <w:rPr>
          <w:lang w:val="en-GB" w:eastAsia="zh-CN"/>
        </w:rPr>
        <w:t xml:space="preserve">: UE is required to perform measurements on higher priority frequencies at least </w:t>
      </w:r>
      <w:r>
        <w:rPr>
          <w:rFonts w:eastAsia="Times New Roman"/>
        </w:rPr>
        <w:t>T</w:t>
      </w:r>
      <w:r>
        <w:rPr>
          <w:rFonts w:eastAsia="Times New Roman"/>
          <w:vertAlign w:val="subscript"/>
        </w:rPr>
        <w:t>higher_priority_search</w:t>
      </w:r>
      <w:r>
        <w:rPr>
          <w:rFonts w:eastAsia="Times New Roman"/>
        </w:rPr>
        <w:t xml:space="preserve"> </w:t>
      </w:r>
      <w:r w:rsidR="00B9642A">
        <w:rPr>
          <w:rFonts w:eastAsia="Times New Roman"/>
        </w:rPr>
        <w:t>independent of relaxed monitoring criterion</w:t>
      </w:r>
      <w:r w:rsidR="00B20100">
        <w:rPr>
          <w:rFonts w:eastAsia="Times New Roman"/>
        </w:rPr>
        <w:t xml:space="preserve">. </w:t>
      </w:r>
    </w:p>
    <w:p w14:paraId="2BA05749" w14:textId="7B44BB99" w:rsidR="008B5081" w:rsidRDefault="0014145F" w:rsidP="00083928">
      <w:pPr>
        <w:rPr>
          <w:lang w:val="en-GB" w:eastAsia="zh-CN"/>
        </w:rPr>
      </w:pPr>
      <w:r>
        <w:rPr>
          <w:lang w:val="en-GB" w:eastAsia="zh-CN"/>
        </w:rPr>
        <w:t>RAN2 agreed to use the LTE relaxed monitoring criteria in 36.304 as a baseline</w:t>
      </w:r>
      <w:r w:rsidR="00885FB3">
        <w:rPr>
          <w:lang w:val="en-GB" w:eastAsia="zh-CN"/>
        </w:rPr>
        <w:t xml:space="preserve"> for “low mobility” trigger</w:t>
      </w:r>
      <w:r w:rsidR="00B20100">
        <w:rPr>
          <w:lang w:val="en-GB" w:eastAsia="zh-CN"/>
        </w:rPr>
        <w:t xml:space="preserve">. We propose re-use the LTE relaxed monitoring </w:t>
      </w:r>
      <w:r w:rsidR="00E32211">
        <w:rPr>
          <w:lang w:val="en-GB" w:eastAsia="zh-CN"/>
        </w:rPr>
        <w:t xml:space="preserve">in NR, with a minor exception to make the “24 hour” rule configurable: </w:t>
      </w:r>
    </w:p>
    <w:p w14:paraId="59DEAA35" w14:textId="61353996" w:rsidR="007E1965" w:rsidRDefault="007E1965" w:rsidP="007E1965">
      <w:pPr>
        <w:rPr>
          <w:lang w:val="en-GB" w:eastAsia="zh-CN"/>
        </w:rPr>
      </w:pPr>
      <w:r w:rsidRPr="005513CC">
        <w:rPr>
          <w:b/>
          <w:bCs/>
          <w:lang w:val="en-GB" w:eastAsia="zh-CN"/>
        </w:rPr>
        <w:t xml:space="preserve">Proposal </w:t>
      </w:r>
      <w:r w:rsidR="00A8242B">
        <w:rPr>
          <w:b/>
          <w:bCs/>
          <w:lang w:val="en-GB" w:eastAsia="zh-CN"/>
        </w:rPr>
        <w:t>3</w:t>
      </w:r>
      <w:r>
        <w:rPr>
          <w:lang w:val="en-GB" w:eastAsia="zh-CN"/>
        </w:rPr>
        <w:t xml:space="preserve">: </w:t>
      </w:r>
      <w:r w:rsidR="002343F1">
        <w:rPr>
          <w:lang w:val="en-GB" w:eastAsia="zh-CN"/>
        </w:rPr>
        <w:t xml:space="preserve">For </w:t>
      </w:r>
      <w:r w:rsidR="00885FB3">
        <w:rPr>
          <w:lang w:val="en-GB" w:eastAsia="zh-CN"/>
        </w:rPr>
        <w:t>“low mobility” trigger</w:t>
      </w:r>
      <w:r w:rsidR="002343F1">
        <w:rPr>
          <w:lang w:val="en-GB" w:eastAsia="zh-CN"/>
        </w:rPr>
        <w:t xml:space="preserve"> the serving cell reference value </w:t>
      </w:r>
      <w:r w:rsidR="000D6ABB">
        <w:rPr>
          <w:lang w:val="en-GB" w:eastAsia="zh-CN"/>
        </w:rPr>
        <w:t>(</w:t>
      </w:r>
      <w:r w:rsidR="000D6ABB" w:rsidRPr="00D64D2E">
        <w:rPr>
          <w:rFonts w:ascii="Times New Roman" w:hAnsi="Times New Roman"/>
          <w:color w:val="000000" w:themeColor="text1"/>
          <w:szCs w:val="20"/>
        </w:rPr>
        <w:t>Srxlev</w:t>
      </w:r>
      <w:r w:rsidR="000D6ABB" w:rsidRPr="00D64D2E">
        <w:rPr>
          <w:rFonts w:ascii="Times New Roman" w:hAnsi="Times New Roman"/>
          <w:color w:val="000000" w:themeColor="text1"/>
          <w:szCs w:val="20"/>
          <w:vertAlign w:val="subscript"/>
        </w:rPr>
        <w:t>Ref</w:t>
      </w:r>
      <w:r w:rsidR="000D6ABB">
        <w:rPr>
          <w:lang w:val="en-GB" w:eastAsia="zh-CN"/>
        </w:rPr>
        <w:t xml:space="preserve">) </w:t>
      </w:r>
      <w:r w:rsidR="002343F1">
        <w:rPr>
          <w:lang w:val="en-GB" w:eastAsia="zh-CN"/>
        </w:rPr>
        <w:t xml:space="preserve">shall be set </w:t>
      </w:r>
      <w:r w:rsidR="00F86BEC">
        <w:rPr>
          <w:lang w:val="en-GB" w:eastAsia="zh-CN"/>
        </w:rPr>
        <w:t>to the serving cell value (</w:t>
      </w:r>
      <w:r w:rsidR="00F86BEC" w:rsidRPr="00D64D2E">
        <w:rPr>
          <w:rFonts w:ascii="Times New Roman" w:hAnsi="Times New Roman"/>
          <w:color w:val="000000" w:themeColor="text1"/>
          <w:szCs w:val="20"/>
        </w:rPr>
        <w:t>Srxlev</w:t>
      </w:r>
      <w:r w:rsidR="00F86BEC">
        <w:rPr>
          <w:lang w:val="en-GB" w:eastAsia="zh-CN"/>
        </w:rPr>
        <w:t xml:space="preserve">) </w:t>
      </w:r>
      <w:r w:rsidR="002343F1">
        <w:rPr>
          <w:lang w:val="en-GB" w:eastAsia="zh-CN"/>
        </w:rPr>
        <w:t xml:space="preserve">after a configurable time period </w:t>
      </w:r>
      <w:r w:rsidR="000D6ABB">
        <w:rPr>
          <w:lang w:val="en-GB" w:eastAsia="zh-CN"/>
        </w:rPr>
        <w:t>(</w:t>
      </w:r>
      <w:r w:rsidR="000D6ABB">
        <w:rPr>
          <w:rFonts w:ascii="Times New Roman" w:hAnsi="Times New Roman"/>
          <w:color w:val="000000" w:themeColor="text1"/>
          <w:szCs w:val="20"/>
        </w:rPr>
        <w:t>T</w:t>
      </w:r>
      <w:r w:rsidR="000D6ABB" w:rsidRPr="00D64D2E">
        <w:rPr>
          <w:rFonts w:ascii="Times New Roman" w:hAnsi="Times New Roman"/>
          <w:color w:val="000000" w:themeColor="text1"/>
          <w:szCs w:val="20"/>
          <w:vertAlign w:val="subscript"/>
        </w:rPr>
        <w:t>SearchDeltaP</w:t>
      </w:r>
      <w:r w:rsidR="000D6ABB">
        <w:rPr>
          <w:lang w:val="en-GB" w:eastAsia="zh-CN"/>
        </w:rPr>
        <w:t>)</w:t>
      </w:r>
      <w:r w:rsidR="00F86BEC">
        <w:rPr>
          <w:lang w:val="en-GB" w:eastAsia="zh-CN"/>
        </w:rPr>
        <w:t xml:space="preserve">. </w:t>
      </w:r>
    </w:p>
    <w:p w14:paraId="6FED7E6E" w14:textId="562A07AC" w:rsidR="00F86BEC" w:rsidRDefault="00F86BEC" w:rsidP="007E1965">
      <w:pPr>
        <w:rPr>
          <w:lang w:val="en-GB" w:eastAsia="zh-CN"/>
        </w:rPr>
      </w:pPr>
      <w:r w:rsidRPr="00AD2B32">
        <w:rPr>
          <w:b/>
          <w:bCs/>
          <w:lang w:val="en-GB" w:eastAsia="zh-CN"/>
        </w:rPr>
        <w:t xml:space="preserve">Proposal </w:t>
      </w:r>
      <w:r w:rsidR="00A8242B">
        <w:rPr>
          <w:b/>
          <w:bCs/>
          <w:lang w:val="en-GB" w:eastAsia="zh-CN"/>
        </w:rPr>
        <w:t>4</w:t>
      </w:r>
      <w:r>
        <w:rPr>
          <w:lang w:val="en-GB" w:eastAsia="zh-CN"/>
        </w:rPr>
        <w:t xml:space="preserve">: </w:t>
      </w:r>
      <w:r w:rsidR="00A41D4F">
        <w:rPr>
          <w:lang w:val="en-GB" w:eastAsia="zh-CN"/>
        </w:rPr>
        <w:t xml:space="preserve">The UE shall </w:t>
      </w:r>
      <w:r w:rsidR="00AD2B32">
        <w:rPr>
          <w:lang w:val="en-GB" w:eastAsia="zh-CN"/>
        </w:rPr>
        <w:t xml:space="preserve">perform intra-frequency and inter-frequency neighbour cell measurement during </w:t>
      </w:r>
      <w:r w:rsidR="00AD2B32">
        <w:rPr>
          <w:rFonts w:ascii="Times New Roman" w:hAnsi="Times New Roman"/>
          <w:color w:val="000000" w:themeColor="text1"/>
          <w:szCs w:val="20"/>
        </w:rPr>
        <w:t>T</w:t>
      </w:r>
      <w:r w:rsidR="00AD2B32" w:rsidRPr="00D64D2E">
        <w:rPr>
          <w:rFonts w:ascii="Times New Roman" w:hAnsi="Times New Roman"/>
          <w:color w:val="000000" w:themeColor="text1"/>
          <w:szCs w:val="20"/>
          <w:vertAlign w:val="subscript"/>
        </w:rPr>
        <w:t>SearchDeltaP</w:t>
      </w:r>
      <w:r w:rsidR="00AD2B32">
        <w:rPr>
          <w:lang w:val="en-GB" w:eastAsia="zh-CN"/>
        </w:rPr>
        <w:t xml:space="preserve"> after cell selection/re-selection.</w:t>
      </w:r>
    </w:p>
    <w:p w14:paraId="0A1D4ED1" w14:textId="55835E30" w:rsidR="00856FE8" w:rsidRDefault="00A8242B" w:rsidP="00A8242B">
      <w:pPr>
        <w:rPr>
          <w:lang w:val="en-GB" w:eastAsia="zh-CN"/>
        </w:rPr>
      </w:pPr>
      <w:r w:rsidRPr="008B32A9">
        <w:rPr>
          <w:b/>
          <w:bCs/>
          <w:lang w:val="en-GB" w:eastAsia="zh-CN"/>
        </w:rPr>
        <w:t xml:space="preserve">Proposal </w:t>
      </w:r>
      <w:r w:rsidR="0012007D" w:rsidRPr="008B32A9">
        <w:rPr>
          <w:b/>
          <w:bCs/>
          <w:lang w:val="en-GB" w:eastAsia="zh-CN"/>
        </w:rPr>
        <w:t>5</w:t>
      </w:r>
      <w:r w:rsidRPr="008B32A9">
        <w:rPr>
          <w:lang w:val="en-GB" w:eastAsia="zh-CN"/>
        </w:rPr>
        <w:t xml:space="preserve">: The UE shall perform intra-frequency and inter-frequency neighbour cell measurement at least every </w:t>
      </w:r>
      <w:r w:rsidRPr="008B32A9">
        <w:rPr>
          <w:rFonts w:ascii="Times New Roman" w:hAnsi="Times New Roman"/>
          <w:color w:val="000000" w:themeColor="text1"/>
          <w:szCs w:val="20"/>
        </w:rPr>
        <w:t>T</w:t>
      </w:r>
      <w:r w:rsidRPr="008B32A9">
        <w:rPr>
          <w:rFonts w:ascii="Times New Roman" w:hAnsi="Times New Roman"/>
          <w:color w:val="000000" w:themeColor="text1"/>
          <w:szCs w:val="20"/>
          <w:vertAlign w:val="subscript"/>
        </w:rPr>
        <w:t>MinSearchPeriod</w:t>
      </w:r>
      <w:r w:rsidRPr="008B32A9">
        <w:rPr>
          <w:lang w:val="en-GB" w:eastAsia="zh-CN"/>
        </w:rPr>
        <w:t xml:space="preserve"> </w:t>
      </w:r>
      <w:r w:rsidR="007913B7" w:rsidRPr="008B32A9">
        <w:rPr>
          <w:lang w:val="en-GB" w:eastAsia="zh-CN"/>
        </w:rPr>
        <w:t xml:space="preserve">(range </w:t>
      </w:r>
      <w:r w:rsidR="008B32A9">
        <w:rPr>
          <w:lang w:val="en-GB" w:eastAsia="zh-CN"/>
        </w:rPr>
        <w:t xml:space="preserve">{x min .. </w:t>
      </w:r>
      <w:r w:rsidR="00E32211">
        <w:rPr>
          <w:lang w:val="en-GB" w:eastAsia="zh-CN"/>
        </w:rPr>
        <w:t>y</w:t>
      </w:r>
      <w:r w:rsidR="008B32A9">
        <w:rPr>
          <w:lang w:val="en-GB" w:eastAsia="zh-CN"/>
        </w:rPr>
        <w:t xml:space="preserve"> hours}</w:t>
      </w:r>
      <w:r w:rsidR="007913B7" w:rsidRPr="008B32A9">
        <w:rPr>
          <w:lang w:val="en-GB" w:eastAsia="zh-CN"/>
        </w:rPr>
        <w:t>)</w:t>
      </w:r>
      <w:r w:rsidR="008B32A9">
        <w:rPr>
          <w:lang w:val="en-GB" w:eastAsia="zh-CN"/>
        </w:rPr>
        <w:t xml:space="preserve">. </w:t>
      </w:r>
    </w:p>
    <w:p w14:paraId="41387E1A" w14:textId="2DDB09A8" w:rsidR="00A8242B" w:rsidRDefault="0012007D" w:rsidP="007E1965">
      <w:pPr>
        <w:rPr>
          <w:lang w:val="en-GB" w:eastAsia="zh-CN"/>
        </w:rPr>
      </w:pPr>
      <w:r>
        <w:rPr>
          <w:lang w:val="en-GB" w:eastAsia="zh-CN"/>
        </w:rPr>
        <w:t xml:space="preserve">RAN2 agreed to introduce both </w:t>
      </w:r>
      <w:r w:rsidR="008B32A9">
        <w:rPr>
          <w:lang w:val="en-GB" w:eastAsia="zh-CN"/>
        </w:rPr>
        <w:t>“</w:t>
      </w:r>
      <w:r>
        <w:rPr>
          <w:lang w:val="en-GB" w:eastAsia="zh-CN"/>
        </w:rPr>
        <w:t>low mobility</w:t>
      </w:r>
      <w:r w:rsidR="008B32A9">
        <w:rPr>
          <w:lang w:val="en-GB" w:eastAsia="zh-CN"/>
        </w:rPr>
        <w:t>”</w:t>
      </w:r>
      <w:r>
        <w:rPr>
          <w:lang w:val="en-GB" w:eastAsia="zh-CN"/>
        </w:rPr>
        <w:t xml:space="preserve"> and </w:t>
      </w:r>
      <w:r w:rsidR="008B32A9">
        <w:rPr>
          <w:lang w:val="en-GB" w:eastAsia="zh-CN"/>
        </w:rPr>
        <w:t>“</w:t>
      </w:r>
      <w:r>
        <w:rPr>
          <w:lang w:val="en-GB" w:eastAsia="zh-CN"/>
        </w:rPr>
        <w:t>not-at-cell-edge</w:t>
      </w:r>
      <w:r w:rsidR="008B32A9">
        <w:rPr>
          <w:lang w:val="en-GB" w:eastAsia="zh-CN"/>
        </w:rPr>
        <w:t>”</w:t>
      </w:r>
      <w:r>
        <w:rPr>
          <w:lang w:val="en-GB" w:eastAsia="zh-CN"/>
        </w:rPr>
        <w:t xml:space="preserve"> trigger condition</w:t>
      </w:r>
      <w:r w:rsidR="001156BD">
        <w:rPr>
          <w:lang w:val="en-GB" w:eastAsia="zh-CN"/>
        </w:rPr>
        <w:t>, i.e. the network can configure o</w:t>
      </w:r>
      <w:r w:rsidR="007D588E">
        <w:rPr>
          <w:lang w:val="en-GB" w:eastAsia="zh-CN"/>
        </w:rPr>
        <w:t>ne or both</w:t>
      </w:r>
      <w:r>
        <w:rPr>
          <w:lang w:val="en-GB" w:eastAsia="zh-CN"/>
        </w:rPr>
        <w:t>:</w:t>
      </w:r>
    </w:p>
    <w:p w14:paraId="31FD9B6D" w14:textId="4C63ADD8" w:rsidR="0012007D" w:rsidRDefault="0012007D" w:rsidP="0012007D">
      <w:pPr>
        <w:rPr>
          <w:lang w:val="en-GB" w:eastAsia="zh-CN"/>
        </w:rPr>
      </w:pPr>
      <w:r w:rsidRPr="00AD2B32">
        <w:rPr>
          <w:b/>
          <w:bCs/>
          <w:lang w:val="en-GB" w:eastAsia="zh-CN"/>
        </w:rPr>
        <w:t xml:space="preserve">Proposal </w:t>
      </w:r>
      <w:r>
        <w:rPr>
          <w:b/>
          <w:bCs/>
          <w:lang w:val="en-GB" w:eastAsia="zh-CN"/>
        </w:rPr>
        <w:t>6</w:t>
      </w:r>
      <w:r>
        <w:rPr>
          <w:lang w:val="en-GB" w:eastAsia="zh-CN"/>
        </w:rPr>
        <w:t xml:space="preserve">: </w:t>
      </w:r>
      <w:r w:rsidR="00983990">
        <w:rPr>
          <w:lang w:val="en-GB" w:eastAsia="zh-CN"/>
        </w:rPr>
        <w:t xml:space="preserve">The network can configure </w:t>
      </w:r>
      <w:r w:rsidR="007D588E">
        <w:rPr>
          <w:lang w:val="en-GB" w:eastAsia="zh-CN"/>
        </w:rPr>
        <w:t xml:space="preserve">“low mobility” or “not-at-cell-edge” trigger </w:t>
      </w:r>
      <w:r w:rsidR="00E27595">
        <w:rPr>
          <w:lang w:val="en-GB" w:eastAsia="zh-CN"/>
        </w:rPr>
        <w:t>or both</w:t>
      </w:r>
      <w:r w:rsidR="001A7CAD">
        <w:rPr>
          <w:lang w:val="en-GB" w:eastAsia="zh-CN"/>
        </w:rPr>
        <w:t xml:space="preserve"> triggers</w:t>
      </w:r>
      <w:r w:rsidR="00E27595">
        <w:rPr>
          <w:lang w:val="en-GB" w:eastAsia="zh-CN"/>
        </w:rPr>
        <w:t>, and configure</w:t>
      </w:r>
      <w:r w:rsidR="001A7CAD">
        <w:rPr>
          <w:lang w:val="en-GB" w:eastAsia="zh-CN"/>
        </w:rPr>
        <w:t xml:space="preserve"> whether</w:t>
      </w:r>
      <w:r w:rsidR="00E27595">
        <w:rPr>
          <w:lang w:val="en-GB" w:eastAsia="zh-CN"/>
        </w:rPr>
        <w:t xml:space="preserve"> either or both triggers </w:t>
      </w:r>
      <w:r w:rsidR="00FD5023">
        <w:rPr>
          <w:lang w:val="en-GB" w:eastAsia="zh-CN"/>
        </w:rPr>
        <w:t xml:space="preserve">(AND/OR) </w:t>
      </w:r>
      <w:r w:rsidR="00E27595">
        <w:rPr>
          <w:lang w:val="en-GB" w:eastAsia="zh-CN"/>
        </w:rPr>
        <w:t xml:space="preserve">shall be satisfied to enable </w:t>
      </w:r>
      <w:r w:rsidR="00B45CDD">
        <w:rPr>
          <w:lang w:val="en-GB" w:eastAsia="zh-CN"/>
        </w:rPr>
        <w:t>relaxed RRM measurements</w:t>
      </w:r>
      <w:r w:rsidR="00097E68">
        <w:rPr>
          <w:lang w:val="en-GB" w:eastAsia="zh-CN"/>
        </w:rPr>
        <w:t xml:space="preserve">. </w:t>
      </w:r>
      <w:r w:rsidR="002950D5">
        <w:rPr>
          <w:lang w:val="en-GB" w:eastAsia="zh-CN"/>
        </w:rPr>
        <w:t xml:space="preserve"> </w:t>
      </w:r>
      <w:r w:rsidR="001A7CAD">
        <w:rPr>
          <w:lang w:val="en-GB" w:eastAsia="zh-CN"/>
        </w:rPr>
        <w:t xml:space="preserve"> </w:t>
      </w:r>
    </w:p>
    <w:p w14:paraId="27111DE6" w14:textId="6E5D6C4D" w:rsidR="009C5DE9" w:rsidRDefault="009D2B37" w:rsidP="0012007D">
      <w:pPr>
        <w:rPr>
          <w:lang w:val="en-GB" w:eastAsia="zh-CN"/>
        </w:rPr>
      </w:pPr>
      <w:r>
        <w:rPr>
          <w:lang w:val="en-GB" w:eastAsia="zh-CN"/>
        </w:rPr>
        <w:t xml:space="preserve">We think there is not a strong reason to make the RRM measurement relaxation dependent on which condition(s) are triggered, </w:t>
      </w:r>
      <w:r w:rsidR="00947E2E">
        <w:rPr>
          <w:lang w:val="en-GB" w:eastAsia="zh-CN"/>
        </w:rPr>
        <w:t xml:space="preserve">and such dependency would introduce further complexity. However we consider the RRM measurement relaxation should be discussed in RAN4: </w:t>
      </w:r>
    </w:p>
    <w:p w14:paraId="131BCC87" w14:textId="04067601" w:rsidR="006F2E98" w:rsidRDefault="006F2E98" w:rsidP="006F2E98">
      <w:pPr>
        <w:rPr>
          <w:lang w:val="en-GB" w:eastAsia="zh-CN"/>
        </w:rPr>
      </w:pPr>
      <w:r w:rsidRPr="00AD2B32">
        <w:rPr>
          <w:b/>
          <w:bCs/>
          <w:lang w:val="en-GB" w:eastAsia="zh-CN"/>
        </w:rPr>
        <w:t xml:space="preserve">Proposal </w:t>
      </w:r>
      <w:r>
        <w:rPr>
          <w:b/>
          <w:bCs/>
          <w:lang w:val="en-GB" w:eastAsia="zh-CN"/>
        </w:rPr>
        <w:t>7</w:t>
      </w:r>
      <w:r>
        <w:rPr>
          <w:lang w:val="en-GB" w:eastAsia="zh-CN"/>
        </w:rPr>
        <w:t xml:space="preserve">: RAN4 to </w:t>
      </w:r>
      <w:r w:rsidR="009A2D0D">
        <w:rPr>
          <w:lang w:val="en-GB" w:eastAsia="zh-CN"/>
        </w:rPr>
        <w:t xml:space="preserve">discuss and agree on the </w:t>
      </w:r>
      <w:r>
        <w:rPr>
          <w:lang w:val="en-GB" w:eastAsia="zh-CN"/>
        </w:rPr>
        <w:t>relaxed RRM measurement requirement</w:t>
      </w:r>
      <w:r w:rsidR="00895324">
        <w:rPr>
          <w:lang w:val="en-GB" w:eastAsia="zh-CN"/>
        </w:rPr>
        <w:t>s</w:t>
      </w:r>
      <w:r>
        <w:rPr>
          <w:lang w:val="en-GB" w:eastAsia="zh-CN"/>
        </w:rPr>
        <w:t>.</w:t>
      </w:r>
    </w:p>
    <w:p w14:paraId="5E650D32" w14:textId="77777777" w:rsidR="009D725A" w:rsidRDefault="009D725A" w:rsidP="009D725A">
      <w:pPr>
        <w:pStyle w:val="Heading1"/>
        <w:jc w:val="both"/>
      </w:pPr>
      <w:bookmarkStart w:id="3" w:name="_Toc242573360"/>
      <w:r>
        <w:t>Summary</w:t>
      </w:r>
      <w:bookmarkEnd w:id="3"/>
    </w:p>
    <w:p w14:paraId="65B81F03" w14:textId="7F5A0C64" w:rsidR="001659F2" w:rsidRDefault="001659F2" w:rsidP="001659F2">
      <w:bookmarkStart w:id="4" w:name="_Toc242573361"/>
      <w:r>
        <w:t xml:space="preserve">RAN2 is kindly asked to </w:t>
      </w:r>
      <w:r w:rsidR="00910638">
        <w:t xml:space="preserve">discuss </w:t>
      </w:r>
      <w:r w:rsidR="00C31329">
        <w:t>relaxed RRM measurements</w:t>
      </w:r>
      <w:r>
        <w:t xml:space="preserve">: </w:t>
      </w:r>
    </w:p>
    <w:p w14:paraId="658A77E9" w14:textId="77777777" w:rsidR="009A2D0D" w:rsidRDefault="009A2D0D" w:rsidP="009A2D0D">
      <w:pPr>
        <w:rPr>
          <w:lang w:val="en-GB" w:eastAsia="zh-CN"/>
        </w:rPr>
      </w:pPr>
      <w:r w:rsidRPr="005513CC">
        <w:rPr>
          <w:b/>
          <w:bCs/>
          <w:lang w:val="en-GB" w:eastAsia="zh-CN"/>
        </w:rPr>
        <w:lastRenderedPageBreak/>
        <w:t>Proposal 1</w:t>
      </w:r>
      <w:r>
        <w:rPr>
          <w:lang w:val="en-GB" w:eastAsia="zh-CN"/>
        </w:rPr>
        <w:t>: UE shall not un-conditionally, i.e. when relaxed criterion is not fulfilled, relax needed measurements, as specified in section 5.2.4.2 in 38.304:</w:t>
      </w:r>
    </w:p>
    <w:p w14:paraId="0C2705A2" w14:textId="77777777" w:rsidR="009A2D0D" w:rsidRDefault="009A2D0D" w:rsidP="009A2D0D">
      <w:pPr>
        <w:pStyle w:val="ListParagraph"/>
        <w:numPr>
          <w:ilvl w:val="0"/>
          <w:numId w:val="47"/>
        </w:numPr>
        <w:rPr>
          <w:lang w:val="en-GB" w:eastAsia="zh-CN"/>
        </w:rPr>
      </w:pPr>
      <w:r w:rsidRPr="008443BA">
        <w:rPr>
          <w:lang w:val="en-GB" w:eastAsia="zh-CN"/>
        </w:rPr>
        <w:t xml:space="preserve">Intra-frequency measurements when below </w:t>
      </w:r>
      <w:r>
        <w:rPr>
          <w:lang w:val="en-GB" w:eastAsia="zh-CN"/>
        </w:rPr>
        <w:t xml:space="preserve">intra-frequency </w:t>
      </w:r>
      <w:r w:rsidRPr="008443BA">
        <w:rPr>
          <w:lang w:val="en-GB" w:eastAsia="zh-CN"/>
        </w:rPr>
        <w:t>measurement threshold</w:t>
      </w:r>
    </w:p>
    <w:p w14:paraId="500FBF1D" w14:textId="77777777" w:rsidR="009A2D0D" w:rsidRDefault="009A2D0D" w:rsidP="009A2D0D">
      <w:pPr>
        <w:pStyle w:val="ListParagraph"/>
        <w:numPr>
          <w:ilvl w:val="0"/>
          <w:numId w:val="47"/>
        </w:numPr>
        <w:rPr>
          <w:lang w:val="en-GB" w:eastAsia="zh-CN"/>
        </w:rPr>
      </w:pPr>
      <w:r>
        <w:rPr>
          <w:lang w:val="en-GB" w:eastAsia="zh-CN"/>
        </w:rPr>
        <w:t>Inter-frequency measurements on all priority layers when below inter-frequency measurement threshold</w:t>
      </w:r>
    </w:p>
    <w:p w14:paraId="07239C45" w14:textId="77777777" w:rsidR="009A2D0D" w:rsidRPr="008443BA" w:rsidRDefault="009A2D0D" w:rsidP="009A2D0D">
      <w:pPr>
        <w:pStyle w:val="ListParagraph"/>
        <w:numPr>
          <w:ilvl w:val="0"/>
          <w:numId w:val="47"/>
        </w:numPr>
        <w:rPr>
          <w:lang w:val="en-GB" w:eastAsia="zh-CN"/>
        </w:rPr>
      </w:pPr>
      <w:r>
        <w:rPr>
          <w:lang w:val="en-GB" w:eastAsia="zh-CN"/>
        </w:rPr>
        <w:t xml:space="preserve">Higher priority inter-frequency measurements every </w:t>
      </w:r>
      <w:r>
        <w:t>T</w:t>
      </w:r>
      <w:r>
        <w:rPr>
          <w:sz w:val="21"/>
          <w:szCs w:val="21"/>
          <w:vertAlign w:val="subscript"/>
        </w:rPr>
        <w:t>higher_priority_search</w:t>
      </w:r>
      <w:r>
        <w:t> </w:t>
      </w:r>
      <w:r>
        <w:rPr>
          <w:lang w:val="en-GB" w:eastAsia="zh-CN"/>
        </w:rPr>
        <w:t>when above inter-frequency measurement threshold</w:t>
      </w:r>
    </w:p>
    <w:p w14:paraId="29FAC331" w14:textId="77777777" w:rsidR="009A2D0D" w:rsidRPr="00B91DA1" w:rsidRDefault="009A2D0D" w:rsidP="009A2D0D">
      <w:pPr>
        <w:rPr>
          <w:lang w:val="en-GB" w:eastAsia="zh-CN"/>
        </w:rPr>
      </w:pPr>
      <w:r w:rsidRPr="00B91DA1">
        <w:rPr>
          <w:b/>
          <w:bCs/>
          <w:lang w:val="en-GB" w:eastAsia="zh-CN"/>
        </w:rPr>
        <w:t>Proposal 2</w:t>
      </w:r>
      <w:r>
        <w:rPr>
          <w:lang w:val="en-GB" w:eastAsia="zh-CN"/>
        </w:rPr>
        <w:t xml:space="preserve">: UE is required to perform measurements on higher priority frequencies at least </w:t>
      </w:r>
      <w:r>
        <w:rPr>
          <w:rFonts w:eastAsia="Times New Roman"/>
        </w:rPr>
        <w:t>T</w:t>
      </w:r>
      <w:r>
        <w:rPr>
          <w:rFonts w:eastAsia="Times New Roman"/>
          <w:vertAlign w:val="subscript"/>
        </w:rPr>
        <w:t>higher_priority_search</w:t>
      </w:r>
      <w:r>
        <w:rPr>
          <w:rFonts w:eastAsia="Times New Roman"/>
        </w:rPr>
        <w:t xml:space="preserve"> independent of relaxed monitoring criterion. </w:t>
      </w:r>
    </w:p>
    <w:p w14:paraId="034B27E5" w14:textId="77777777" w:rsidR="009A2D0D" w:rsidRDefault="009A2D0D" w:rsidP="009A2D0D">
      <w:pPr>
        <w:rPr>
          <w:lang w:val="en-GB" w:eastAsia="zh-CN"/>
        </w:rPr>
      </w:pPr>
      <w:r w:rsidRPr="005513CC">
        <w:rPr>
          <w:b/>
          <w:bCs/>
          <w:lang w:val="en-GB" w:eastAsia="zh-CN"/>
        </w:rPr>
        <w:t xml:space="preserve">Proposal </w:t>
      </w:r>
      <w:r>
        <w:rPr>
          <w:b/>
          <w:bCs/>
          <w:lang w:val="en-GB" w:eastAsia="zh-CN"/>
        </w:rPr>
        <w:t>3</w:t>
      </w:r>
      <w:r>
        <w:rPr>
          <w:lang w:val="en-GB" w:eastAsia="zh-CN"/>
        </w:rPr>
        <w:t>: For “low mobility” trigger the serving cell reference value (</w:t>
      </w:r>
      <w:r w:rsidRPr="00D64D2E">
        <w:rPr>
          <w:rFonts w:ascii="Times New Roman" w:hAnsi="Times New Roman"/>
          <w:color w:val="000000" w:themeColor="text1"/>
          <w:szCs w:val="20"/>
        </w:rPr>
        <w:t>Srxlev</w:t>
      </w:r>
      <w:r w:rsidRPr="00D64D2E">
        <w:rPr>
          <w:rFonts w:ascii="Times New Roman" w:hAnsi="Times New Roman"/>
          <w:color w:val="000000" w:themeColor="text1"/>
          <w:szCs w:val="20"/>
          <w:vertAlign w:val="subscript"/>
        </w:rPr>
        <w:t>Ref</w:t>
      </w:r>
      <w:r>
        <w:rPr>
          <w:lang w:val="en-GB" w:eastAsia="zh-CN"/>
        </w:rPr>
        <w:t>) shall be set to the serving cell value (</w:t>
      </w:r>
      <w:r w:rsidRPr="00D64D2E">
        <w:rPr>
          <w:rFonts w:ascii="Times New Roman" w:hAnsi="Times New Roman"/>
          <w:color w:val="000000" w:themeColor="text1"/>
          <w:szCs w:val="20"/>
        </w:rPr>
        <w:t>Srxlev</w:t>
      </w:r>
      <w:r>
        <w:rPr>
          <w:lang w:val="en-GB" w:eastAsia="zh-CN"/>
        </w:rPr>
        <w:t>) after a configurable time period (</w:t>
      </w:r>
      <w:r>
        <w:rPr>
          <w:rFonts w:ascii="Times New Roman" w:hAnsi="Times New Roman"/>
          <w:color w:val="000000" w:themeColor="text1"/>
          <w:szCs w:val="20"/>
        </w:rPr>
        <w:t>T</w:t>
      </w:r>
      <w:r w:rsidRPr="00D64D2E">
        <w:rPr>
          <w:rFonts w:ascii="Times New Roman" w:hAnsi="Times New Roman"/>
          <w:color w:val="000000" w:themeColor="text1"/>
          <w:szCs w:val="20"/>
          <w:vertAlign w:val="subscript"/>
        </w:rPr>
        <w:t>SearchDeltaP</w:t>
      </w:r>
      <w:r>
        <w:rPr>
          <w:lang w:val="en-GB" w:eastAsia="zh-CN"/>
        </w:rPr>
        <w:t xml:space="preserve">). </w:t>
      </w:r>
    </w:p>
    <w:p w14:paraId="75463429" w14:textId="77777777" w:rsidR="009A2D0D" w:rsidRDefault="009A2D0D" w:rsidP="009A2D0D">
      <w:pPr>
        <w:rPr>
          <w:lang w:val="en-GB" w:eastAsia="zh-CN"/>
        </w:rPr>
      </w:pPr>
      <w:r w:rsidRPr="00AD2B32">
        <w:rPr>
          <w:b/>
          <w:bCs/>
          <w:lang w:val="en-GB" w:eastAsia="zh-CN"/>
        </w:rPr>
        <w:t xml:space="preserve">Proposal </w:t>
      </w:r>
      <w:r>
        <w:rPr>
          <w:b/>
          <w:bCs/>
          <w:lang w:val="en-GB" w:eastAsia="zh-CN"/>
        </w:rPr>
        <w:t>4</w:t>
      </w:r>
      <w:r>
        <w:rPr>
          <w:lang w:val="en-GB" w:eastAsia="zh-CN"/>
        </w:rPr>
        <w:t xml:space="preserve">: The UE shall perform intra-frequency and inter-frequency neighbour cell measurement during </w:t>
      </w:r>
      <w:r>
        <w:rPr>
          <w:rFonts w:ascii="Times New Roman" w:hAnsi="Times New Roman"/>
          <w:color w:val="000000" w:themeColor="text1"/>
          <w:szCs w:val="20"/>
        </w:rPr>
        <w:t>T</w:t>
      </w:r>
      <w:r w:rsidRPr="00D64D2E">
        <w:rPr>
          <w:rFonts w:ascii="Times New Roman" w:hAnsi="Times New Roman"/>
          <w:color w:val="000000" w:themeColor="text1"/>
          <w:szCs w:val="20"/>
          <w:vertAlign w:val="subscript"/>
        </w:rPr>
        <w:t>SearchDeltaP</w:t>
      </w:r>
      <w:r>
        <w:rPr>
          <w:lang w:val="en-GB" w:eastAsia="zh-CN"/>
        </w:rPr>
        <w:t xml:space="preserve"> after cell selection/re-selection.</w:t>
      </w:r>
    </w:p>
    <w:p w14:paraId="214BFD0A" w14:textId="77777777" w:rsidR="009A2D0D" w:rsidRDefault="009A2D0D" w:rsidP="009A2D0D">
      <w:pPr>
        <w:rPr>
          <w:lang w:val="en-GB" w:eastAsia="zh-CN"/>
        </w:rPr>
      </w:pPr>
      <w:r w:rsidRPr="008B32A9">
        <w:rPr>
          <w:b/>
          <w:bCs/>
          <w:lang w:val="en-GB" w:eastAsia="zh-CN"/>
        </w:rPr>
        <w:t>Proposal 5</w:t>
      </w:r>
      <w:r w:rsidRPr="008B32A9">
        <w:rPr>
          <w:lang w:val="en-GB" w:eastAsia="zh-CN"/>
        </w:rPr>
        <w:t xml:space="preserve">: The UE shall perform intra-frequency and inter-frequency neighbour cell measurement at least every </w:t>
      </w:r>
      <w:r w:rsidRPr="008B32A9">
        <w:rPr>
          <w:rFonts w:ascii="Times New Roman" w:hAnsi="Times New Roman"/>
          <w:color w:val="000000" w:themeColor="text1"/>
          <w:szCs w:val="20"/>
        </w:rPr>
        <w:t>T</w:t>
      </w:r>
      <w:r w:rsidRPr="008B32A9">
        <w:rPr>
          <w:rFonts w:ascii="Times New Roman" w:hAnsi="Times New Roman"/>
          <w:color w:val="000000" w:themeColor="text1"/>
          <w:szCs w:val="20"/>
          <w:vertAlign w:val="subscript"/>
        </w:rPr>
        <w:t>MinSearchPeriod</w:t>
      </w:r>
      <w:r w:rsidRPr="008B32A9">
        <w:rPr>
          <w:lang w:val="en-GB" w:eastAsia="zh-CN"/>
        </w:rPr>
        <w:t xml:space="preserve"> (range </w:t>
      </w:r>
      <w:r>
        <w:rPr>
          <w:lang w:val="en-GB" w:eastAsia="zh-CN"/>
        </w:rPr>
        <w:t>{x min .. y hours}</w:t>
      </w:r>
      <w:r w:rsidRPr="008B32A9">
        <w:rPr>
          <w:lang w:val="en-GB" w:eastAsia="zh-CN"/>
        </w:rPr>
        <w:t>)</w:t>
      </w:r>
      <w:r>
        <w:rPr>
          <w:lang w:val="en-GB" w:eastAsia="zh-CN"/>
        </w:rPr>
        <w:t xml:space="preserve">. </w:t>
      </w:r>
    </w:p>
    <w:p w14:paraId="0D12E647" w14:textId="77777777" w:rsidR="009A2D0D" w:rsidRDefault="009A2D0D" w:rsidP="009A2D0D">
      <w:pPr>
        <w:rPr>
          <w:lang w:val="en-GB" w:eastAsia="zh-CN"/>
        </w:rPr>
      </w:pPr>
      <w:r w:rsidRPr="00AD2B32">
        <w:rPr>
          <w:b/>
          <w:bCs/>
          <w:lang w:val="en-GB" w:eastAsia="zh-CN"/>
        </w:rPr>
        <w:t xml:space="preserve">Proposal </w:t>
      </w:r>
      <w:r>
        <w:rPr>
          <w:b/>
          <w:bCs/>
          <w:lang w:val="en-GB" w:eastAsia="zh-CN"/>
        </w:rPr>
        <w:t>6</w:t>
      </w:r>
      <w:r>
        <w:rPr>
          <w:lang w:val="en-GB" w:eastAsia="zh-CN"/>
        </w:rPr>
        <w:t xml:space="preserve">: The network can configure “low mobility” or “not-at-cell-edge” trigger or both triggers, and configure whether either or both triggers (AND/OR) shall be satisfied to enable relaxed RRM measurements.   </w:t>
      </w:r>
    </w:p>
    <w:p w14:paraId="3B59D727" w14:textId="11F8DD95" w:rsidR="009A2D0D" w:rsidRDefault="009A2D0D" w:rsidP="009A2D0D">
      <w:pPr>
        <w:rPr>
          <w:lang w:val="en-GB" w:eastAsia="zh-CN"/>
        </w:rPr>
      </w:pPr>
      <w:r w:rsidRPr="00AD2B32">
        <w:rPr>
          <w:b/>
          <w:bCs/>
          <w:lang w:val="en-GB" w:eastAsia="zh-CN"/>
        </w:rPr>
        <w:t xml:space="preserve">Proposal </w:t>
      </w:r>
      <w:r>
        <w:rPr>
          <w:b/>
          <w:bCs/>
          <w:lang w:val="en-GB" w:eastAsia="zh-CN"/>
        </w:rPr>
        <w:t>7</w:t>
      </w:r>
      <w:r>
        <w:rPr>
          <w:lang w:val="en-GB" w:eastAsia="zh-CN"/>
        </w:rPr>
        <w:t xml:space="preserve">: RAN4 to discuss and agree on the </w:t>
      </w:r>
      <w:bookmarkStart w:id="5" w:name="_GoBack"/>
      <w:bookmarkEnd w:id="5"/>
      <w:r>
        <w:rPr>
          <w:lang w:val="en-GB" w:eastAsia="zh-CN"/>
        </w:rPr>
        <w:t>relaxed RRM measurement requirements.</w:t>
      </w:r>
    </w:p>
    <w:p w14:paraId="5A15FD36" w14:textId="77777777" w:rsidR="009D725A" w:rsidRDefault="009D725A" w:rsidP="009D725A">
      <w:pPr>
        <w:pStyle w:val="Heading1"/>
        <w:rPr>
          <w:noProof/>
        </w:rPr>
      </w:pPr>
      <w:r>
        <w:rPr>
          <w:noProof/>
        </w:rPr>
        <w:t>References</w:t>
      </w:r>
      <w:bookmarkEnd w:id="4"/>
    </w:p>
    <w:p w14:paraId="7FDD646D" w14:textId="098278C1" w:rsidR="00D51E3B" w:rsidRDefault="000F6C39"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0169CA">
          <w:rPr>
            <w:rStyle w:val="Hyperlink"/>
            <w:rFonts w:cs="Arial"/>
            <w:sz w:val="16"/>
            <w:szCs w:val="16"/>
            <w:lang w:val="de-DE"/>
          </w:rPr>
          <w:t>R4-1915946</w:t>
        </w:r>
      </w:hyperlink>
      <w:r w:rsidR="00D51E3B">
        <w:rPr>
          <w:rFonts w:cs="Arial"/>
          <w:sz w:val="16"/>
          <w:szCs w:val="16"/>
          <w:lang w:val="de-DE"/>
        </w:rPr>
        <w:t xml:space="preserve">, </w:t>
      </w:r>
      <w:r w:rsidR="000169CA" w:rsidRPr="000169CA">
        <w:rPr>
          <w:rFonts w:cs="Arial"/>
          <w:i/>
          <w:iCs/>
          <w:sz w:val="16"/>
          <w:szCs w:val="16"/>
          <w:lang w:val="de-DE"/>
        </w:rPr>
        <w:t>WF on RRM measurement relaxation for Power Saving</w:t>
      </w:r>
      <w:r w:rsidR="00D51E3B">
        <w:rPr>
          <w:rFonts w:cs="Arial"/>
          <w:sz w:val="16"/>
          <w:szCs w:val="16"/>
          <w:lang w:val="de-DE"/>
        </w:rPr>
        <w:t xml:space="preserve">, </w:t>
      </w:r>
      <w:r w:rsidR="000169CA">
        <w:rPr>
          <w:rFonts w:cs="Arial"/>
          <w:sz w:val="16"/>
          <w:szCs w:val="16"/>
          <w:lang w:val="de-DE"/>
        </w:rPr>
        <w:t>WF, CATT, RAN4#93</w:t>
      </w:r>
    </w:p>
    <w:p w14:paraId="6D5F4CCB" w14:textId="60B5DC2D" w:rsidR="006C442C" w:rsidRDefault="000F6C39" w:rsidP="00B8781B">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B8781B">
          <w:rPr>
            <w:rStyle w:val="Hyperlink"/>
            <w:rFonts w:cs="Arial"/>
            <w:sz w:val="16"/>
            <w:szCs w:val="16"/>
            <w:lang w:val="de-DE"/>
          </w:rPr>
          <w:t>R2-1916375</w:t>
        </w:r>
      </w:hyperlink>
      <w:r w:rsidR="006C442C">
        <w:rPr>
          <w:rFonts w:cs="Arial"/>
          <w:sz w:val="16"/>
          <w:szCs w:val="16"/>
          <w:lang w:val="de-DE"/>
        </w:rPr>
        <w:t xml:space="preserve">, </w:t>
      </w:r>
      <w:r w:rsidR="006C442C" w:rsidRPr="00B8781B">
        <w:rPr>
          <w:rFonts w:cs="Arial"/>
          <w:i/>
          <w:iCs/>
          <w:sz w:val="16"/>
          <w:szCs w:val="16"/>
          <w:lang w:val="de-DE"/>
        </w:rPr>
        <w:t>LS on RRM Measurement Relaxation for UE Power Saving in NR</w:t>
      </w:r>
      <w:r w:rsidR="006C442C">
        <w:rPr>
          <w:rFonts w:cs="Arial"/>
          <w:sz w:val="16"/>
          <w:szCs w:val="16"/>
          <w:lang w:val="de-DE"/>
        </w:rPr>
        <w:t>, LS out, To: RAN4</w:t>
      </w:r>
      <w:r w:rsidR="00B8781B">
        <w:rPr>
          <w:rFonts w:cs="Arial"/>
          <w:sz w:val="16"/>
          <w:szCs w:val="16"/>
          <w:lang w:val="de-DE"/>
        </w:rPr>
        <w:t>, RAN2#108</w:t>
      </w:r>
    </w:p>
    <w:p w14:paraId="491FF637" w14:textId="77777777" w:rsidR="0003510F" w:rsidRPr="0003510F" w:rsidRDefault="0003510F" w:rsidP="0003510F">
      <w:pPr>
        <w:rPr>
          <w:lang w:val="en-GB" w:eastAsia="zh-CN"/>
        </w:rPr>
      </w:pPr>
    </w:p>
    <w:sectPr w:rsidR="0003510F" w:rsidRPr="0003510F" w:rsidSect="001069A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1560F0B"/>
    <w:multiLevelType w:val="hybridMultilevel"/>
    <w:tmpl w:val="8F7618CA"/>
    <w:lvl w:ilvl="0" w:tplc="45D6AE84">
      <w:start w:val="1"/>
      <w:numFmt w:val="bullet"/>
      <w:lvlText w:val="—"/>
      <w:lvlJc w:val="left"/>
      <w:pPr>
        <w:tabs>
          <w:tab w:val="num" w:pos="720"/>
        </w:tabs>
        <w:ind w:left="720" w:hanging="360"/>
      </w:pPr>
      <w:rPr>
        <w:rFonts w:ascii="Ericsson Hilda Light" w:hAnsi="Ericsson Hilda Light" w:hint="default"/>
      </w:rPr>
    </w:lvl>
    <w:lvl w:ilvl="1" w:tplc="A31AA6F0">
      <w:start w:val="1"/>
      <w:numFmt w:val="bullet"/>
      <w:lvlText w:val="—"/>
      <w:lvlJc w:val="left"/>
      <w:pPr>
        <w:tabs>
          <w:tab w:val="num" w:pos="1440"/>
        </w:tabs>
        <w:ind w:left="1440" w:hanging="360"/>
      </w:pPr>
      <w:rPr>
        <w:rFonts w:ascii="Ericsson Hilda Light" w:hAnsi="Ericsson Hilda Light" w:hint="default"/>
      </w:rPr>
    </w:lvl>
    <w:lvl w:ilvl="2" w:tplc="DE667FD2" w:tentative="1">
      <w:start w:val="1"/>
      <w:numFmt w:val="bullet"/>
      <w:lvlText w:val="—"/>
      <w:lvlJc w:val="left"/>
      <w:pPr>
        <w:tabs>
          <w:tab w:val="num" w:pos="2160"/>
        </w:tabs>
        <w:ind w:left="2160" w:hanging="360"/>
      </w:pPr>
      <w:rPr>
        <w:rFonts w:ascii="Ericsson Hilda Light" w:hAnsi="Ericsson Hilda Light" w:hint="default"/>
      </w:rPr>
    </w:lvl>
    <w:lvl w:ilvl="3" w:tplc="2F1CCE10" w:tentative="1">
      <w:start w:val="1"/>
      <w:numFmt w:val="bullet"/>
      <w:lvlText w:val="—"/>
      <w:lvlJc w:val="left"/>
      <w:pPr>
        <w:tabs>
          <w:tab w:val="num" w:pos="2880"/>
        </w:tabs>
        <w:ind w:left="2880" w:hanging="360"/>
      </w:pPr>
      <w:rPr>
        <w:rFonts w:ascii="Ericsson Hilda Light" w:hAnsi="Ericsson Hilda Light" w:hint="default"/>
      </w:rPr>
    </w:lvl>
    <w:lvl w:ilvl="4" w:tplc="BB9AA8E0" w:tentative="1">
      <w:start w:val="1"/>
      <w:numFmt w:val="bullet"/>
      <w:lvlText w:val="—"/>
      <w:lvlJc w:val="left"/>
      <w:pPr>
        <w:tabs>
          <w:tab w:val="num" w:pos="3600"/>
        </w:tabs>
        <w:ind w:left="3600" w:hanging="360"/>
      </w:pPr>
      <w:rPr>
        <w:rFonts w:ascii="Ericsson Hilda Light" w:hAnsi="Ericsson Hilda Light" w:hint="default"/>
      </w:rPr>
    </w:lvl>
    <w:lvl w:ilvl="5" w:tplc="4344F646" w:tentative="1">
      <w:start w:val="1"/>
      <w:numFmt w:val="bullet"/>
      <w:lvlText w:val="—"/>
      <w:lvlJc w:val="left"/>
      <w:pPr>
        <w:tabs>
          <w:tab w:val="num" w:pos="4320"/>
        </w:tabs>
        <w:ind w:left="4320" w:hanging="360"/>
      </w:pPr>
      <w:rPr>
        <w:rFonts w:ascii="Ericsson Hilda Light" w:hAnsi="Ericsson Hilda Light" w:hint="default"/>
      </w:rPr>
    </w:lvl>
    <w:lvl w:ilvl="6" w:tplc="672431BE" w:tentative="1">
      <w:start w:val="1"/>
      <w:numFmt w:val="bullet"/>
      <w:lvlText w:val="—"/>
      <w:lvlJc w:val="left"/>
      <w:pPr>
        <w:tabs>
          <w:tab w:val="num" w:pos="5040"/>
        </w:tabs>
        <w:ind w:left="5040" w:hanging="360"/>
      </w:pPr>
      <w:rPr>
        <w:rFonts w:ascii="Ericsson Hilda Light" w:hAnsi="Ericsson Hilda Light" w:hint="default"/>
      </w:rPr>
    </w:lvl>
    <w:lvl w:ilvl="7" w:tplc="B00422F2" w:tentative="1">
      <w:start w:val="1"/>
      <w:numFmt w:val="bullet"/>
      <w:lvlText w:val="—"/>
      <w:lvlJc w:val="left"/>
      <w:pPr>
        <w:tabs>
          <w:tab w:val="num" w:pos="5760"/>
        </w:tabs>
        <w:ind w:left="5760" w:hanging="360"/>
      </w:pPr>
      <w:rPr>
        <w:rFonts w:ascii="Ericsson Hilda Light" w:hAnsi="Ericsson Hilda Light" w:hint="default"/>
      </w:rPr>
    </w:lvl>
    <w:lvl w:ilvl="8" w:tplc="1C36A9C4"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245E64B0"/>
    <w:multiLevelType w:val="hybridMultilevel"/>
    <w:tmpl w:val="04E06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B2E3F92"/>
    <w:multiLevelType w:val="hybridMultilevel"/>
    <w:tmpl w:val="15744D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174E66"/>
    <w:multiLevelType w:val="hybridMultilevel"/>
    <w:tmpl w:val="BB30BADC"/>
    <w:lvl w:ilvl="0" w:tplc="FE6E8DE4">
      <w:start w:val="1"/>
      <w:numFmt w:val="bullet"/>
      <w:lvlText w:val="—"/>
      <w:lvlJc w:val="left"/>
      <w:pPr>
        <w:tabs>
          <w:tab w:val="num" w:pos="357"/>
        </w:tabs>
        <w:ind w:left="357" w:hanging="360"/>
      </w:pPr>
      <w:rPr>
        <w:rFonts w:ascii="Ericsson Hilda Light" w:hAnsi="Ericsson Hilda Light" w:hint="default"/>
      </w:rPr>
    </w:lvl>
    <w:lvl w:ilvl="1" w:tplc="DC6C9C72">
      <w:start w:val="110"/>
      <w:numFmt w:val="bullet"/>
      <w:lvlText w:val="—"/>
      <w:lvlJc w:val="left"/>
      <w:pPr>
        <w:tabs>
          <w:tab w:val="num" w:pos="1077"/>
        </w:tabs>
        <w:ind w:left="1077" w:hanging="360"/>
      </w:pPr>
      <w:rPr>
        <w:rFonts w:ascii="Ericsson Hilda Light" w:hAnsi="Ericsson Hilda Light" w:hint="default"/>
      </w:rPr>
    </w:lvl>
    <w:lvl w:ilvl="2" w:tplc="68D4E734">
      <w:start w:val="110"/>
      <w:numFmt w:val="bullet"/>
      <w:lvlText w:val="—"/>
      <w:lvlJc w:val="left"/>
      <w:pPr>
        <w:tabs>
          <w:tab w:val="num" w:pos="1797"/>
        </w:tabs>
        <w:ind w:left="1797" w:hanging="360"/>
      </w:pPr>
      <w:rPr>
        <w:rFonts w:ascii="Ericsson Hilda Light" w:hAnsi="Ericsson Hilda Light" w:hint="default"/>
      </w:rPr>
    </w:lvl>
    <w:lvl w:ilvl="3" w:tplc="3604C9A0" w:tentative="1">
      <w:start w:val="1"/>
      <w:numFmt w:val="bullet"/>
      <w:lvlText w:val="—"/>
      <w:lvlJc w:val="left"/>
      <w:pPr>
        <w:tabs>
          <w:tab w:val="num" w:pos="2517"/>
        </w:tabs>
        <w:ind w:left="2517" w:hanging="360"/>
      </w:pPr>
      <w:rPr>
        <w:rFonts w:ascii="Ericsson Hilda Light" w:hAnsi="Ericsson Hilda Light" w:hint="default"/>
      </w:rPr>
    </w:lvl>
    <w:lvl w:ilvl="4" w:tplc="A73E9A56" w:tentative="1">
      <w:start w:val="1"/>
      <w:numFmt w:val="bullet"/>
      <w:lvlText w:val="—"/>
      <w:lvlJc w:val="left"/>
      <w:pPr>
        <w:tabs>
          <w:tab w:val="num" w:pos="3237"/>
        </w:tabs>
        <w:ind w:left="3237" w:hanging="360"/>
      </w:pPr>
      <w:rPr>
        <w:rFonts w:ascii="Ericsson Hilda Light" w:hAnsi="Ericsson Hilda Light" w:hint="default"/>
      </w:rPr>
    </w:lvl>
    <w:lvl w:ilvl="5" w:tplc="4A60D088" w:tentative="1">
      <w:start w:val="1"/>
      <w:numFmt w:val="bullet"/>
      <w:lvlText w:val="—"/>
      <w:lvlJc w:val="left"/>
      <w:pPr>
        <w:tabs>
          <w:tab w:val="num" w:pos="3957"/>
        </w:tabs>
        <w:ind w:left="3957" w:hanging="360"/>
      </w:pPr>
      <w:rPr>
        <w:rFonts w:ascii="Ericsson Hilda Light" w:hAnsi="Ericsson Hilda Light" w:hint="default"/>
      </w:rPr>
    </w:lvl>
    <w:lvl w:ilvl="6" w:tplc="72EA1436" w:tentative="1">
      <w:start w:val="1"/>
      <w:numFmt w:val="bullet"/>
      <w:lvlText w:val="—"/>
      <w:lvlJc w:val="left"/>
      <w:pPr>
        <w:tabs>
          <w:tab w:val="num" w:pos="4677"/>
        </w:tabs>
        <w:ind w:left="4677" w:hanging="360"/>
      </w:pPr>
      <w:rPr>
        <w:rFonts w:ascii="Ericsson Hilda Light" w:hAnsi="Ericsson Hilda Light" w:hint="default"/>
      </w:rPr>
    </w:lvl>
    <w:lvl w:ilvl="7" w:tplc="B45E0352" w:tentative="1">
      <w:start w:val="1"/>
      <w:numFmt w:val="bullet"/>
      <w:lvlText w:val="—"/>
      <w:lvlJc w:val="left"/>
      <w:pPr>
        <w:tabs>
          <w:tab w:val="num" w:pos="5397"/>
        </w:tabs>
        <w:ind w:left="5397" w:hanging="360"/>
      </w:pPr>
      <w:rPr>
        <w:rFonts w:ascii="Ericsson Hilda Light" w:hAnsi="Ericsson Hilda Light" w:hint="default"/>
      </w:rPr>
    </w:lvl>
    <w:lvl w:ilvl="8" w:tplc="9D0435E6" w:tentative="1">
      <w:start w:val="1"/>
      <w:numFmt w:val="bullet"/>
      <w:lvlText w:val="—"/>
      <w:lvlJc w:val="left"/>
      <w:pPr>
        <w:tabs>
          <w:tab w:val="num" w:pos="6117"/>
        </w:tabs>
        <w:ind w:left="6117" w:hanging="360"/>
      </w:pPr>
      <w:rPr>
        <w:rFonts w:ascii="Ericsson Hilda Light" w:hAnsi="Ericsson Hilda Light" w:hint="default"/>
      </w:rPr>
    </w:lvl>
  </w:abstractNum>
  <w:abstractNum w:abstractNumId="29"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8542EF0"/>
    <w:multiLevelType w:val="hybridMultilevel"/>
    <w:tmpl w:val="F0CAFBD0"/>
    <w:lvl w:ilvl="0" w:tplc="15CEE0DA">
      <w:start w:val="1"/>
      <w:numFmt w:val="bullet"/>
      <w:lvlText w:val="—"/>
      <w:lvlJc w:val="left"/>
      <w:pPr>
        <w:tabs>
          <w:tab w:val="num" w:pos="357"/>
        </w:tabs>
        <w:ind w:left="357" w:hanging="360"/>
      </w:pPr>
      <w:rPr>
        <w:rFonts w:ascii="Ericsson Hilda Light" w:hAnsi="Ericsson Hilda Light" w:hint="default"/>
      </w:rPr>
    </w:lvl>
    <w:lvl w:ilvl="1" w:tplc="C66E2472">
      <w:start w:val="110"/>
      <w:numFmt w:val="bullet"/>
      <w:lvlText w:val="—"/>
      <w:lvlJc w:val="left"/>
      <w:pPr>
        <w:tabs>
          <w:tab w:val="num" w:pos="1077"/>
        </w:tabs>
        <w:ind w:left="1077" w:hanging="360"/>
      </w:pPr>
      <w:rPr>
        <w:rFonts w:ascii="Ericsson Hilda Light" w:hAnsi="Ericsson Hilda Light" w:hint="default"/>
      </w:rPr>
    </w:lvl>
    <w:lvl w:ilvl="2" w:tplc="8B90A032" w:tentative="1">
      <w:start w:val="1"/>
      <w:numFmt w:val="bullet"/>
      <w:lvlText w:val="—"/>
      <w:lvlJc w:val="left"/>
      <w:pPr>
        <w:tabs>
          <w:tab w:val="num" w:pos="1797"/>
        </w:tabs>
        <w:ind w:left="1797" w:hanging="360"/>
      </w:pPr>
      <w:rPr>
        <w:rFonts w:ascii="Ericsson Hilda Light" w:hAnsi="Ericsson Hilda Light" w:hint="default"/>
      </w:rPr>
    </w:lvl>
    <w:lvl w:ilvl="3" w:tplc="50DA2752" w:tentative="1">
      <w:start w:val="1"/>
      <w:numFmt w:val="bullet"/>
      <w:lvlText w:val="—"/>
      <w:lvlJc w:val="left"/>
      <w:pPr>
        <w:tabs>
          <w:tab w:val="num" w:pos="2517"/>
        </w:tabs>
        <w:ind w:left="2517" w:hanging="360"/>
      </w:pPr>
      <w:rPr>
        <w:rFonts w:ascii="Ericsson Hilda Light" w:hAnsi="Ericsson Hilda Light" w:hint="default"/>
      </w:rPr>
    </w:lvl>
    <w:lvl w:ilvl="4" w:tplc="EA32FDB0" w:tentative="1">
      <w:start w:val="1"/>
      <w:numFmt w:val="bullet"/>
      <w:lvlText w:val="—"/>
      <w:lvlJc w:val="left"/>
      <w:pPr>
        <w:tabs>
          <w:tab w:val="num" w:pos="3237"/>
        </w:tabs>
        <w:ind w:left="3237" w:hanging="360"/>
      </w:pPr>
      <w:rPr>
        <w:rFonts w:ascii="Ericsson Hilda Light" w:hAnsi="Ericsson Hilda Light" w:hint="default"/>
      </w:rPr>
    </w:lvl>
    <w:lvl w:ilvl="5" w:tplc="101C88DC" w:tentative="1">
      <w:start w:val="1"/>
      <w:numFmt w:val="bullet"/>
      <w:lvlText w:val="—"/>
      <w:lvlJc w:val="left"/>
      <w:pPr>
        <w:tabs>
          <w:tab w:val="num" w:pos="3957"/>
        </w:tabs>
        <w:ind w:left="3957" w:hanging="360"/>
      </w:pPr>
      <w:rPr>
        <w:rFonts w:ascii="Ericsson Hilda Light" w:hAnsi="Ericsson Hilda Light" w:hint="default"/>
      </w:rPr>
    </w:lvl>
    <w:lvl w:ilvl="6" w:tplc="E60E23D4" w:tentative="1">
      <w:start w:val="1"/>
      <w:numFmt w:val="bullet"/>
      <w:lvlText w:val="—"/>
      <w:lvlJc w:val="left"/>
      <w:pPr>
        <w:tabs>
          <w:tab w:val="num" w:pos="4677"/>
        </w:tabs>
        <w:ind w:left="4677" w:hanging="360"/>
      </w:pPr>
      <w:rPr>
        <w:rFonts w:ascii="Ericsson Hilda Light" w:hAnsi="Ericsson Hilda Light" w:hint="default"/>
      </w:rPr>
    </w:lvl>
    <w:lvl w:ilvl="7" w:tplc="C95675E2" w:tentative="1">
      <w:start w:val="1"/>
      <w:numFmt w:val="bullet"/>
      <w:lvlText w:val="—"/>
      <w:lvlJc w:val="left"/>
      <w:pPr>
        <w:tabs>
          <w:tab w:val="num" w:pos="5397"/>
        </w:tabs>
        <w:ind w:left="5397" w:hanging="360"/>
      </w:pPr>
      <w:rPr>
        <w:rFonts w:ascii="Ericsson Hilda Light" w:hAnsi="Ericsson Hilda Light" w:hint="default"/>
      </w:rPr>
    </w:lvl>
    <w:lvl w:ilvl="8" w:tplc="E0CCAF34" w:tentative="1">
      <w:start w:val="1"/>
      <w:numFmt w:val="bullet"/>
      <w:lvlText w:val="—"/>
      <w:lvlJc w:val="left"/>
      <w:pPr>
        <w:tabs>
          <w:tab w:val="num" w:pos="6117"/>
        </w:tabs>
        <w:ind w:left="6117" w:hanging="360"/>
      </w:pPr>
      <w:rPr>
        <w:rFonts w:ascii="Ericsson Hilda Light" w:hAnsi="Ericsson Hilda Light" w:hint="default"/>
      </w:rPr>
    </w:lvl>
  </w:abstractNum>
  <w:abstractNum w:abstractNumId="44"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9"/>
  </w:num>
  <w:num w:numId="2">
    <w:abstractNumId w:val="38"/>
  </w:num>
  <w:num w:numId="3">
    <w:abstractNumId w:val="18"/>
  </w:num>
  <w:num w:numId="4">
    <w:abstractNumId w:val="11"/>
  </w:num>
  <w:num w:numId="5">
    <w:abstractNumId w:val="39"/>
  </w:num>
  <w:num w:numId="6">
    <w:abstractNumId w:val="21"/>
  </w:num>
  <w:num w:numId="7">
    <w:abstractNumId w:val="36"/>
  </w:num>
  <w:num w:numId="8">
    <w:abstractNumId w:val="41"/>
  </w:num>
  <w:num w:numId="9">
    <w:abstractNumId w:val="13"/>
  </w:num>
  <w:num w:numId="10">
    <w:abstractNumId w:val="20"/>
  </w:num>
  <w:num w:numId="11">
    <w:abstractNumId w:val="17"/>
  </w:num>
  <w:num w:numId="12">
    <w:abstractNumId w:val="46"/>
  </w:num>
  <w:num w:numId="13">
    <w:abstractNumId w:val="15"/>
  </w:num>
  <w:num w:numId="14">
    <w:abstractNumId w:val="24"/>
  </w:num>
  <w:num w:numId="15">
    <w:abstractNumId w:val="40"/>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4"/>
  </w:num>
  <w:num w:numId="28">
    <w:abstractNumId w:val="16"/>
  </w:num>
  <w:num w:numId="29">
    <w:abstractNumId w:val="42"/>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7"/>
  </w:num>
  <w:num w:numId="32">
    <w:abstractNumId w:val="32"/>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1"/>
  </w:num>
  <w:num w:numId="36">
    <w:abstractNumId w:val="30"/>
  </w:num>
  <w:num w:numId="37">
    <w:abstractNumId w:val="33"/>
  </w:num>
  <w:num w:numId="38">
    <w:abstractNumId w:val="35"/>
  </w:num>
  <w:num w:numId="39">
    <w:abstractNumId w:val="45"/>
  </w:num>
  <w:num w:numId="40">
    <w:abstractNumId w:val="37"/>
  </w:num>
  <w:num w:numId="41">
    <w:abstractNumId w:val="22"/>
  </w:num>
  <w:num w:numId="42">
    <w:abstractNumId w:val="43"/>
  </w:num>
  <w:num w:numId="43">
    <w:abstractNumId w:val="28"/>
  </w:num>
  <w:num w:numId="44">
    <w:abstractNumId w:val="44"/>
  </w:num>
  <w:num w:numId="45">
    <w:abstractNumId w:val="14"/>
  </w:num>
  <w:num w:numId="46">
    <w:abstractNumId w:val="26"/>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3276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3746"/>
    <w:rsid w:val="0000455C"/>
    <w:rsid w:val="000059B7"/>
    <w:rsid w:val="00006CE2"/>
    <w:rsid w:val="00011902"/>
    <w:rsid w:val="00012285"/>
    <w:rsid w:val="00013C93"/>
    <w:rsid w:val="000169CA"/>
    <w:rsid w:val="00020287"/>
    <w:rsid w:val="00020FFE"/>
    <w:rsid w:val="0002181B"/>
    <w:rsid w:val="00027BEA"/>
    <w:rsid w:val="000343D3"/>
    <w:rsid w:val="0003510F"/>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3928"/>
    <w:rsid w:val="0008686B"/>
    <w:rsid w:val="0009603A"/>
    <w:rsid w:val="00097E68"/>
    <w:rsid w:val="000A20E0"/>
    <w:rsid w:val="000A360E"/>
    <w:rsid w:val="000A7088"/>
    <w:rsid w:val="000A7328"/>
    <w:rsid w:val="000A787E"/>
    <w:rsid w:val="000B0FE3"/>
    <w:rsid w:val="000B2AED"/>
    <w:rsid w:val="000B47D4"/>
    <w:rsid w:val="000B593C"/>
    <w:rsid w:val="000C0661"/>
    <w:rsid w:val="000C2CCE"/>
    <w:rsid w:val="000C3430"/>
    <w:rsid w:val="000C4330"/>
    <w:rsid w:val="000C6C63"/>
    <w:rsid w:val="000D1253"/>
    <w:rsid w:val="000D2C35"/>
    <w:rsid w:val="000D6ABB"/>
    <w:rsid w:val="000E2DC8"/>
    <w:rsid w:val="000E47A9"/>
    <w:rsid w:val="000E6807"/>
    <w:rsid w:val="000F2D1B"/>
    <w:rsid w:val="000F6C39"/>
    <w:rsid w:val="00100C70"/>
    <w:rsid w:val="00104ACF"/>
    <w:rsid w:val="00104B6A"/>
    <w:rsid w:val="00104C28"/>
    <w:rsid w:val="001065E3"/>
    <w:rsid w:val="001069AD"/>
    <w:rsid w:val="00106C7C"/>
    <w:rsid w:val="001119D7"/>
    <w:rsid w:val="00111AA3"/>
    <w:rsid w:val="00113632"/>
    <w:rsid w:val="001156BD"/>
    <w:rsid w:val="00116F90"/>
    <w:rsid w:val="00116FEC"/>
    <w:rsid w:val="0012007D"/>
    <w:rsid w:val="00120851"/>
    <w:rsid w:val="00120D47"/>
    <w:rsid w:val="00121810"/>
    <w:rsid w:val="00122AD2"/>
    <w:rsid w:val="00127D2C"/>
    <w:rsid w:val="001308CD"/>
    <w:rsid w:val="00130F86"/>
    <w:rsid w:val="00131FBE"/>
    <w:rsid w:val="00135810"/>
    <w:rsid w:val="00135EC3"/>
    <w:rsid w:val="0013686C"/>
    <w:rsid w:val="00136C0C"/>
    <w:rsid w:val="001405E9"/>
    <w:rsid w:val="00141033"/>
    <w:rsid w:val="001412DA"/>
    <w:rsid w:val="0014145F"/>
    <w:rsid w:val="00141635"/>
    <w:rsid w:val="001418FF"/>
    <w:rsid w:val="00143DE0"/>
    <w:rsid w:val="001448FD"/>
    <w:rsid w:val="001460AC"/>
    <w:rsid w:val="00147469"/>
    <w:rsid w:val="00147E07"/>
    <w:rsid w:val="00150EAC"/>
    <w:rsid w:val="0015199E"/>
    <w:rsid w:val="00164767"/>
    <w:rsid w:val="001648FB"/>
    <w:rsid w:val="001659F2"/>
    <w:rsid w:val="00172C20"/>
    <w:rsid w:val="0018431E"/>
    <w:rsid w:val="001845B1"/>
    <w:rsid w:val="00191C5C"/>
    <w:rsid w:val="001924EE"/>
    <w:rsid w:val="00192610"/>
    <w:rsid w:val="00194E7F"/>
    <w:rsid w:val="001A066B"/>
    <w:rsid w:val="001A241E"/>
    <w:rsid w:val="001A3300"/>
    <w:rsid w:val="001A7903"/>
    <w:rsid w:val="001A7BB7"/>
    <w:rsid w:val="001A7CAD"/>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43F1"/>
    <w:rsid w:val="00236881"/>
    <w:rsid w:val="00237DA0"/>
    <w:rsid w:val="00241371"/>
    <w:rsid w:val="00241971"/>
    <w:rsid w:val="00244267"/>
    <w:rsid w:val="002500A8"/>
    <w:rsid w:val="00250157"/>
    <w:rsid w:val="00250587"/>
    <w:rsid w:val="00251CC3"/>
    <w:rsid w:val="00260EC7"/>
    <w:rsid w:val="002733D0"/>
    <w:rsid w:val="00273C32"/>
    <w:rsid w:val="00274E81"/>
    <w:rsid w:val="00281BCA"/>
    <w:rsid w:val="00283532"/>
    <w:rsid w:val="00283E2E"/>
    <w:rsid w:val="00286831"/>
    <w:rsid w:val="0028711E"/>
    <w:rsid w:val="00290477"/>
    <w:rsid w:val="002950D5"/>
    <w:rsid w:val="002950E1"/>
    <w:rsid w:val="00295270"/>
    <w:rsid w:val="00295317"/>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1FAA"/>
    <w:rsid w:val="00383177"/>
    <w:rsid w:val="00387975"/>
    <w:rsid w:val="00393247"/>
    <w:rsid w:val="00393EB8"/>
    <w:rsid w:val="00395015"/>
    <w:rsid w:val="003A5C51"/>
    <w:rsid w:val="003B5CD6"/>
    <w:rsid w:val="003C1556"/>
    <w:rsid w:val="003C1C5D"/>
    <w:rsid w:val="003C50C2"/>
    <w:rsid w:val="003D09AA"/>
    <w:rsid w:val="003D49F3"/>
    <w:rsid w:val="003D7733"/>
    <w:rsid w:val="003E7D8B"/>
    <w:rsid w:val="003F1487"/>
    <w:rsid w:val="003F1522"/>
    <w:rsid w:val="003F191A"/>
    <w:rsid w:val="003F2284"/>
    <w:rsid w:val="003F30D6"/>
    <w:rsid w:val="003F673F"/>
    <w:rsid w:val="003F697E"/>
    <w:rsid w:val="003F7F9E"/>
    <w:rsid w:val="00401136"/>
    <w:rsid w:val="00403769"/>
    <w:rsid w:val="00406447"/>
    <w:rsid w:val="004074EE"/>
    <w:rsid w:val="004077CE"/>
    <w:rsid w:val="00410263"/>
    <w:rsid w:val="00411F7D"/>
    <w:rsid w:val="00412CF8"/>
    <w:rsid w:val="004132AD"/>
    <w:rsid w:val="00413B0F"/>
    <w:rsid w:val="00415988"/>
    <w:rsid w:val="004163CF"/>
    <w:rsid w:val="0041785F"/>
    <w:rsid w:val="00432CCD"/>
    <w:rsid w:val="00432CE1"/>
    <w:rsid w:val="00434E88"/>
    <w:rsid w:val="0043515D"/>
    <w:rsid w:val="0043788C"/>
    <w:rsid w:val="00445733"/>
    <w:rsid w:val="00445DD9"/>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4F7664"/>
    <w:rsid w:val="0050109B"/>
    <w:rsid w:val="0050273A"/>
    <w:rsid w:val="00505AC7"/>
    <w:rsid w:val="005073E2"/>
    <w:rsid w:val="00510DAC"/>
    <w:rsid w:val="00513A0A"/>
    <w:rsid w:val="00514C2F"/>
    <w:rsid w:val="00516650"/>
    <w:rsid w:val="0051782B"/>
    <w:rsid w:val="00517B15"/>
    <w:rsid w:val="005210C0"/>
    <w:rsid w:val="0052219A"/>
    <w:rsid w:val="00522CAB"/>
    <w:rsid w:val="005241C8"/>
    <w:rsid w:val="0052581A"/>
    <w:rsid w:val="00532DB1"/>
    <w:rsid w:val="00542513"/>
    <w:rsid w:val="005433FA"/>
    <w:rsid w:val="00545B4A"/>
    <w:rsid w:val="00545B6C"/>
    <w:rsid w:val="005513CC"/>
    <w:rsid w:val="00552732"/>
    <w:rsid w:val="00555E44"/>
    <w:rsid w:val="005575FA"/>
    <w:rsid w:val="00560550"/>
    <w:rsid w:val="00564D25"/>
    <w:rsid w:val="0056603C"/>
    <w:rsid w:val="00566CF0"/>
    <w:rsid w:val="0057505D"/>
    <w:rsid w:val="00575E8D"/>
    <w:rsid w:val="00583244"/>
    <w:rsid w:val="00583C42"/>
    <w:rsid w:val="00585607"/>
    <w:rsid w:val="00593BA2"/>
    <w:rsid w:val="00593DF1"/>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3CD5"/>
    <w:rsid w:val="005E42AD"/>
    <w:rsid w:val="005E5482"/>
    <w:rsid w:val="005E6CA0"/>
    <w:rsid w:val="005E6F22"/>
    <w:rsid w:val="005F2971"/>
    <w:rsid w:val="005F7274"/>
    <w:rsid w:val="005F7968"/>
    <w:rsid w:val="00602B94"/>
    <w:rsid w:val="00602F9F"/>
    <w:rsid w:val="00603CCA"/>
    <w:rsid w:val="00610534"/>
    <w:rsid w:val="0061135E"/>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770CD"/>
    <w:rsid w:val="00682662"/>
    <w:rsid w:val="00683AFD"/>
    <w:rsid w:val="00685EC0"/>
    <w:rsid w:val="00690466"/>
    <w:rsid w:val="00691624"/>
    <w:rsid w:val="00691AA7"/>
    <w:rsid w:val="00693CEA"/>
    <w:rsid w:val="006A3181"/>
    <w:rsid w:val="006A39AE"/>
    <w:rsid w:val="006A6639"/>
    <w:rsid w:val="006B1942"/>
    <w:rsid w:val="006B5B69"/>
    <w:rsid w:val="006B5BD4"/>
    <w:rsid w:val="006B6B15"/>
    <w:rsid w:val="006B7B9D"/>
    <w:rsid w:val="006C20C4"/>
    <w:rsid w:val="006C442C"/>
    <w:rsid w:val="006C7C34"/>
    <w:rsid w:val="006D151A"/>
    <w:rsid w:val="006D1813"/>
    <w:rsid w:val="006D5962"/>
    <w:rsid w:val="006E27D1"/>
    <w:rsid w:val="006E5B76"/>
    <w:rsid w:val="006E7D43"/>
    <w:rsid w:val="006F2E98"/>
    <w:rsid w:val="006F30A0"/>
    <w:rsid w:val="007032F3"/>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3B33"/>
    <w:rsid w:val="00745917"/>
    <w:rsid w:val="00750D3B"/>
    <w:rsid w:val="00755199"/>
    <w:rsid w:val="00757A49"/>
    <w:rsid w:val="00764CCE"/>
    <w:rsid w:val="00767213"/>
    <w:rsid w:val="0077286C"/>
    <w:rsid w:val="00773DC4"/>
    <w:rsid w:val="00776F25"/>
    <w:rsid w:val="00782D8E"/>
    <w:rsid w:val="007837C7"/>
    <w:rsid w:val="00787E14"/>
    <w:rsid w:val="007913B7"/>
    <w:rsid w:val="00797CEE"/>
    <w:rsid w:val="007A039B"/>
    <w:rsid w:val="007A7AB2"/>
    <w:rsid w:val="007B149C"/>
    <w:rsid w:val="007B23E4"/>
    <w:rsid w:val="007C0B18"/>
    <w:rsid w:val="007C2EF2"/>
    <w:rsid w:val="007C3BC8"/>
    <w:rsid w:val="007C4779"/>
    <w:rsid w:val="007C51DD"/>
    <w:rsid w:val="007C52AF"/>
    <w:rsid w:val="007D588E"/>
    <w:rsid w:val="007E0428"/>
    <w:rsid w:val="007E0620"/>
    <w:rsid w:val="007E0821"/>
    <w:rsid w:val="007E1965"/>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4DE3"/>
    <w:rsid w:val="008417FF"/>
    <w:rsid w:val="00842FC0"/>
    <w:rsid w:val="008440E1"/>
    <w:rsid w:val="008443BA"/>
    <w:rsid w:val="00845C8A"/>
    <w:rsid w:val="00845DEA"/>
    <w:rsid w:val="0084641A"/>
    <w:rsid w:val="0085433D"/>
    <w:rsid w:val="00856FE8"/>
    <w:rsid w:val="008576A8"/>
    <w:rsid w:val="00864238"/>
    <w:rsid w:val="008751B4"/>
    <w:rsid w:val="00876ABB"/>
    <w:rsid w:val="00882664"/>
    <w:rsid w:val="00885FB3"/>
    <w:rsid w:val="00887CFE"/>
    <w:rsid w:val="00891598"/>
    <w:rsid w:val="00891CF6"/>
    <w:rsid w:val="00892BE1"/>
    <w:rsid w:val="00892FED"/>
    <w:rsid w:val="0089369E"/>
    <w:rsid w:val="0089383E"/>
    <w:rsid w:val="00895324"/>
    <w:rsid w:val="00895B54"/>
    <w:rsid w:val="0089695F"/>
    <w:rsid w:val="008A5D84"/>
    <w:rsid w:val="008A7C5D"/>
    <w:rsid w:val="008B32A9"/>
    <w:rsid w:val="008B36BD"/>
    <w:rsid w:val="008B5081"/>
    <w:rsid w:val="008C226A"/>
    <w:rsid w:val="008C2808"/>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36D1"/>
    <w:rsid w:val="00913C74"/>
    <w:rsid w:val="00914326"/>
    <w:rsid w:val="00920727"/>
    <w:rsid w:val="009216EB"/>
    <w:rsid w:val="00926CC2"/>
    <w:rsid w:val="009300B3"/>
    <w:rsid w:val="009300C8"/>
    <w:rsid w:val="0093141D"/>
    <w:rsid w:val="00931710"/>
    <w:rsid w:val="009350CE"/>
    <w:rsid w:val="00943516"/>
    <w:rsid w:val="00943939"/>
    <w:rsid w:val="00946BC1"/>
    <w:rsid w:val="00947E2E"/>
    <w:rsid w:val="00947EDE"/>
    <w:rsid w:val="00950C93"/>
    <w:rsid w:val="009518A0"/>
    <w:rsid w:val="0095458B"/>
    <w:rsid w:val="00954AEC"/>
    <w:rsid w:val="00955B10"/>
    <w:rsid w:val="00965FE1"/>
    <w:rsid w:val="009661B0"/>
    <w:rsid w:val="00966569"/>
    <w:rsid w:val="00966906"/>
    <w:rsid w:val="009669EC"/>
    <w:rsid w:val="00966D74"/>
    <w:rsid w:val="00967CC9"/>
    <w:rsid w:val="00970895"/>
    <w:rsid w:val="00972AAC"/>
    <w:rsid w:val="00975516"/>
    <w:rsid w:val="00977BBB"/>
    <w:rsid w:val="00983990"/>
    <w:rsid w:val="00985517"/>
    <w:rsid w:val="00985612"/>
    <w:rsid w:val="009938ED"/>
    <w:rsid w:val="009A0FD5"/>
    <w:rsid w:val="009A1476"/>
    <w:rsid w:val="009A2D0D"/>
    <w:rsid w:val="009B7330"/>
    <w:rsid w:val="009C0ACC"/>
    <w:rsid w:val="009C38E7"/>
    <w:rsid w:val="009C5DE9"/>
    <w:rsid w:val="009C6E39"/>
    <w:rsid w:val="009D11CF"/>
    <w:rsid w:val="009D2B37"/>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1D4F"/>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0921"/>
    <w:rsid w:val="00A7695D"/>
    <w:rsid w:val="00A769F6"/>
    <w:rsid w:val="00A8242B"/>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2B32"/>
    <w:rsid w:val="00AD4B91"/>
    <w:rsid w:val="00AE052B"/>
    <w:rsid w:val="00AE55BF"/>
    <w:rsid w:val="00AE57F7"/>
    <w:rsid w:val="00AF188F"/>
    <w:rsid w:val="00AF334D"/>
    <w:rsid w:val="00AF5EB7"/>
    <w:rsid w:val="00AF5EBE"/>
    <w:rsid w:val="00AF6208"/>
    <w:rsid w:val="00AF71DD"/>
    <w:rsid w:val="00B04F39"/>
    <w:rsid w:val="00B13B51"/>
    <w:rsid w:val="00B20100"/>
    <w:rsid w:val="00B250D5"/>
    <w:rsid w:val="00B26CFB"/>
    <w:rsid w:val="00B32D49"/>
    <w:rsid w:val="00B4455E"/>
    <w:rsid w:val="00B4464E"/>
    <w:rsid w:val="00B44CFE"/>
    <w:rsid w:val="00B45CDD"/>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8781B"/>
    <w:rsid w:val="00B91DA1"/>
    <w:rsid w:val="00B92FD5"/>
    <w:rsid w:val="00B93A99"/>
    <w:rsid w:val="00B94AB5"/>
    <w:rsid w:val="00B95CD3"/>
    <w:rsid w:val="00B9642A"/>
    <w:rsid w:val="00BA1E62"/>
    <w:rsid w:val="00BA633E"/>
    <w:rsid w:val="00BB2636"/>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1329"/>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160"/>
    <w:rsid w:val="00C96A72"/>
    <w:rsid w:val="00C9729B"/>
    <w:rsid w:val="00CA1C76"/>
    <w:rsid w:val="00CA280A"/>
    <w:rsid w:val="00CA315B"/>
    <w:rsid w:val="00CB1753"/>
    <w:rsid w:val="00CC00D8"/>
    <w:rsid w:val="00CC1F1A"/>
    <w:rsid w:val="00CC25B6"/>
    <w:rsid w:val="00CC2C63"/>
    <w:rsid w:val="00CC308A"/>
    <w:rsid w:val="00CC5C27"/>
    <w:rsid w:val="00CC6376"/>
    <w:rsid w:val="00CD51AF"/>
    <w:rsid w:val="00CD566B"/>
    <w:rsid w:val="00CD67B3"/>
    <w:rsid w:val="00CE3462"/>
    <w:rsid w:val="00CE373D"/>
    <w:rsid w:val="00CE54A1"/>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1E3B"/>
    <w:rsid w:val="00D53C43"/>
    <w:rsid w:val="00D55275"/>
    <w:rsid w:val="00D56465"/>
    <w:rsid w:val="00D565E3"/>
    <w:rsid w:val="00D56A5F"/>
    <w:rsid w:val="00D60A8B"/>
    <w:rsid w:val="00D63F57"/>
    <w:rsid w:val="00D64441"/>
    <w:rsid w:val="00D64D2E"/>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27595"/>
    <w:rsid w:val="00E30DCD"/>
    <w:rsid w:val="00E32211"/>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77019"/>
    <w:rsid w:val="00E803CA"/>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1722"/>
    <w:rsid w:val="00F32EF1"/>
    <w:rsid w:val="00F33BD6"/>
    <w:rsid w:val="00F342B4"/>
    <w:rsid w:val="00F342CC"/>
    <w:rsid w:val="00F40933"/>
    <w:rsid w:val="00F42E1E"/>
    <w:rsid w:val="00F51F15"/>
    <w:rsid w:val="00F558B4"/>
    <w:rsid w:val="00F55A37"/>
    <w:rsid w:val="00F60EB1"/>
    <w:rsid w:val="00F611EB"/>
    <w:rsid w:val="00F61C33"/>
    <w:rsid w:val="00F711E2"/>
    <w:rsid w:val="00F726B8"/>
    <w:rsid w:val="00F8408F"/>
    <w:rsid w:val="00F86BEC"/>
    <w:rsid w:val="00F906EF"/>
    <w:rsid w:val="00F90B79"/>
    <w:rsid w:val="00F9288C"/>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C5F4A"/>
    <w:rsid w:val="00FD1C75"/>
    <w:rsid w:val="00FD21BC"/>
    <w:rsid w:val="00FD304B"/>
    <w:rsid w:val="00FD4EAB"/>
    <w:rsid w:val="00FD5023"/>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B2">
    <w:name w:val="B2"/>
    <w:basedOn w:val="List2"/>
    <w:link w:val="B2Char"/>
    <w:qFormat/>
    <w:rsid w:val="0003510F"/>
    <w:pPr>
      <w:overflowPunct w:val="0"/>
      <w:autoSpaceDE w:val="0"/>
      <w:autoSpaceDN w:val="0"/>
      <w:adjustRightInd w:val="0"/>
      <w:spacing w:after="180"/>
      <w:ind w:left="851" w:hanging="284"/>
      <w:contextualSpacing w:val="0"/>
      <w:textAlignment w:val="baseline"/>
    </w:pPr>
    <w:rPr>
      <w:rFonts w:ascii="Times New Roman" w:eastAsiaTheme="minorEastAsia" w:hAnsi="Times New Roman"/>
      <w:szCs w:val="20"/>
      <w:lang w:val="en-GB" w:eastAsia="ja-JP"/>
    </w:rPr>
  </w:style>
  <w:style w:type="paragraph" w:customStyle="1" w:styleId="B3">
    <w:name w:val="B3"/>
    <w:basedOn w:val="List3"/>
    <w:link w:val="B3Char"/>
    <w:qFormat/>
    <w:rsid w:val="0003510F"/>
    <w:pPr>
      <w:overflowPunct w:val="0"/>
      <w:autoSpaceDE w:val="0"/>
      <w:autoSpaceDN w:val="0"/>
      <w:adjustRightInd w:val="0"/>
      <w:spacing w:after="180"/>
      <w:ind w:left="1135" w:hanging="284"/>
      <w:contextualSpacing w:val="0"/>
      <w:textAlignment w:val="baseline"/>
    </w:pPr>
    <w:rPr>
      <w:rFonts w:ascii="Times New Roman" w:eastAsiaTheme="minorEastAsia" w:hAnsi="Times New Roman"/>
      <w:szCs w:val="20"/>
      <w:lang w:val="en-GB" w:eastAsia="ja-JP"/>
    </w:rPr>
  </w:style>
  <w:style w:type="character" w:customStyle="1" w:styleId="B2Char">
    <w:name w:val="B2 Char"/>
    <w:link w:val="B2"/>
    <w:qFormat/>
    <w:rsid w:val="0003510F"/>
    <w:rPr>
      <w:rFonts w:ascii="Times New Roman" w:eastAsiaTheme="minorEastAsia" w:hAnsi="Times New Roman"/>
      <w:lang w:eastAsia="ja-JP"/>
    </w:rPr>
  </w:style>
  <w:style w:type="character" w:customStyle="1" w:styleId="B3Char">
    <w:name w:val="B3 Char"/>
    <w:link w:val="B3"/>
    <w:rsid w:val="0003510F"/>
    <w:rPr>
      <w:rFonts w:ascii="Times New Roman" w:eastAsiaTheme="minorEastAsia" w:hAnsi="Times New Roman"/>
      <w:lang w:eastAsia="ja-JP"/>
    </w:rPr>
  </w:style>
  <w:style w:type="paragraph" w:styleId="List2">
    <w:name w:val="List 2"/>
    <w:basedOn w:val="Normal"/>
    <w:uiPriority w:val="99"/>
    <w:semiHidden/>
    <w:unhideWhenUsed/>
    <w:rsid w:val="0003510F"/>
    <w:pPr>
      <w:ind w:left="566" w:hanging="283"/>
      <w:contextualSpacing/>
    </w:pPr>
  </w:style>
  <w:style w:type="paragraph" w:styleId="List3">
    <w:name w:val="List 3"/>
    <w:basedOn w:val="Normal"/>
    <w:uiPriority w:val="99"/>
    <w:semiHidden/>
    <w:unhideWhenUsed/>
    <w:rsid w:val="0003510F"/>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31025">
      <w:bodyDiv w:val="1"/>
      <w:marLeft w:val="0"/>
      <w:marRight w:val="0"/>
      <w:marTop w:val="0"/>
      <w:marBottom w:val="0"/>
      <w:divBdr>
        <w:top w:val="none" w:sz="0" w:space="0" w:color="auto"/>
        <w:left w:val="none" w:sz="0" w:space="0" w:color="auto"/>
        <w:bottom w:val="none" w:sz="0" w:space="0" w:color="auto"/>
        <w:right w:val="none" w:sz="0" w:space="0" w:color="auto"/>
      </w:divBdr>
    </w:div>
    <w:div w:id="127402306">
      <w:bodyDiv w:val="1"/>
      <w:marLeft w:val="0"/>
      <w:marRight w:val="0"/>
      <w:marTop w:val="0"/>
      <w:marBottom w:val="0"/>
      <w:divBdr>
        <w:top w:val="none" w:sz="0" w:space="0" w:color="auto"/>
        <w:left w:val="none" w:sz="0" w:space="0" w:color="auto"/>
        <w:bottom w:val="none" w:sz="0" w:space="0" w:color="auto"/>
        <w:right w:val="none" w:sz="0" w:space="0" w:color="auto"/>
      </w:divBdr>
      <w:divsChild>
        <w:div w:id="748963735">
          <w:marLeft w:val="547"/>
          <w:marRight w:val="0"/>
          <w:marTop w:val="60"/>
          <w:marBottom w:val="0"/>
          <w:divBdr>
            <w:top w:val="none" w:sz="0" w:space="0" w:color="auto"/>
            <w:left w:val="none" w:sz="0" w:space="0" w:color="auto"/>
            <w:bottom w:val="none" w:sz="0" w:space="0" w:color="auto"/>
            <w:right w:val="none" w:sz="0" w:space="0" w:color="auto"/>
          </w:divBdr>
        </w:div>
        <w:div w:id="1801990230">
          <w:marLeft w:val="1123"/>
          <w:marRight w:val="0"/>
          <w:marTop w:val="60"/>
          <w:marBottom w:val="0"/>
          <w:divBdr>
            <w:top w:val="none" w:sz="0" w:space="0" w:color="auto"/>
            <w:left w:val="none" w:sz="0" w:space="0" w:color="auto"/>
            <w:bottom w:val="none" w:sz="0" w:space="0" w:color="auto"/>
            <w:right w:val="none" w:sz="0" w:space="0" w:color="auto"/>
          </w:divBdr>
        </w:div>
        <w:div w:id="2059819386">
          <w:marLeft w:val="1699"/>
          <w:marRight w:val="0"/>
          <w:marTop w:val="60"/>
          <w:marBottom w:val="0"/>
          <w:divBdr>
            <w:top w:val="none" w:sz="0" w:space="0" w:color="auto"/>
            <w:left w:val="none" w:sz="0" w:space="0" w:color="auto"/>
            <w:bottom w:val="none" w:sz="0" w:space="0" w:color="auto"/>
            <w:right w:val="none" w:sz="0" w:space="0" w:color="auto"/>
          </w:divBdr>
        </w:div>
        <w:div w:id="1719164994">
          <w:marLeft w:val="1699"/>
          <w:marRight w:val="0"/>
          <w:marTop w:val="60"/>
          <w:marBottom w:val="0"/>
          <w:divBdr>
            <w:top w:val="none" w:sz="0" w:space="0" w:color="auto"/>
            <w:left w:val="none" w:sz="0" w:space="0" w:color="auto"/>
            <w:bottom w:val="none" w:sz="0" w:space="0" w:color="auto"/>
            <w:right w:val="none" w:sz="0" w:space="0" w:color="auto"/>
          </w:divBdr>
        </w:div>
        <w:div w:id="425418860">
          <w:marLeft w:val="1699"/>
          <w:marRight w:val="0"/>
          <w:marTop w:val="60"/>
          <w:marBottom w:val="0"/>
          <w:divBdr>
            <w:top w:val="none" w:sz="0" w:space="0" w:color="auto"/>
            <w:left w:val="none" w:sz="0" w:space="0" w:color="auto"/>
            <w:bottom w:val="none" w:sz="0" w:space="0" w:color="auto"/>
            <w:right w:val="none" w:sz="0" w:space="0" w:color="auto"/>
          </w:divBdr>
        </w:div>
        <w:div w:id="14313952">
          <w:marLeft w:val="1123"/>
          <w:marRight w:val="0"/>
          <w:marTop w:val="60"/>
          <w:marBottom w:val="0"/>
          <w:divBdr>
            <w:top w:val="none" w:sz="0" w:space="0" w:color="auto"/>
            <w:left w:val="none" w:sz="0" w:space="0" w:color="auto"/>
            <w:bottom w:val="none" w:sz="0" w:space="0" w:color="auto"/>
            <w:right w:val="none" w:sz="0" w:space="0" w:color="auto"/>
          </w:divBdr>
        </w:div>
        <w:div w:id="2009677479">
          <w:marLeft w:val="1699"/>
          <w:marRight w:val="0"/>
          <w:marTop w:val="60"/>
          <w:marBottom w:val="0"/>
          <w:divBdr>
            <w:top w:val="none" w:sz="0" w:space="0" w:color="auto"/>
            <w:left w:val="none" w:sz="0" w:space="0" w:color="auto"/>
            <w:bottom w:val="none" w:sz="0" w:space="0" w:color="auto"/>
            <w:right w:val="none" w:sz="0" w:space="0" w:color="auto"/>
          </w:divBdr>
        </w:div>
        <w:div w:id="2017418583">
          <w:marLeft w:val="1699"/>
          <w:marRight w:val="0"/>
          <w:marTop w:val="60"/>
          <w:marBottom w:val="0"/>
          <w:divBdr>
            <w:top w:val="none" w:sz="0" w:space="0" w:color="auto"/>
            <w:left w:val="none" w:sz="0" w:space="0" w:color="auto"/>
            <w:bottom w:val="none" w:sz="0" w:space="0" w:color="auto"/>
            <w:right w:val="none" w:sz="0" w:space="0" w:color="auto"/>
          </w:divBdr>
        </w:div>
        <w:div w:id="1706175667">
          <w:marLeft w:val="1699"/>
          <w:marRight w:val="0"/>
          <w:marTop w:val="60"/>
          <w:marBottom w:val="0"/>
          <w:divBdr>
            <w:top w:val="none" w:sz="0" w:space="0" w:color="auto"/>
            <w:left w:val="none" w:sz="0" w:space="0" w:color="auto"/>
            <w:bottom w:val="none" w:sz="0" w:space="0" w:color="auto"/>
            <w:right w:val="none" w:sz="0" w:space="0" w:color="auto"/>
          </w:divBdr>
        </w:div>
        <w:div w:id="1597010049">
          <w:marLeft w:val="1123"/>
          <w:marRight w:val="0"/>
          <w:marTop w:val="60"/>
          <w:marBottom w:val="0"/>
          <w:divBdr>
            <w:top w:val="none" w:sz="0" w:space="0" w:color="auto"/>
            <w:left w:val="none" w:sz="0" w:space="0" w:color="auto"/>
            <w:bottom w:val="none" w:sz="0" w:space="0" w:color="auto"/>
            <w:right w:val="none" w:sz="0" w:space="0" w:color="auto"/>
          </w:divBdr>
        </w:div>
        <w:div w:id="655107517">
          <w:marLeft w:val="1123"/>
          <w:marRight w:val="0"/>
          <w:marTop w:val="60"/>
          <w:marBottom w:val="0"/>
          <w:divBdr>
            <w:top w:val="none" w:sz="0" w:space="0" w:color="auto"/>
            <w:left w:val="none" w:sz="0" w:space="0" w:color="auto"/>
            <w:bottom w:val="none" w:sz="0" w:space="0" w:color="auto"/>
            <w:right w:val="none" w:sz="0" w:space="0" w:color="auto"/>
          </w:divBdr>
        </w:div>
        <w:div w:id="107623830">
          <w:marLeft w:val="1699"/>
          <w:marRight w:val="0"/>
          <w:marTop w:val="60"/>
          <w:marBottom w:val="0"/>
          <w:divBdr>
            <w:top w:val="none" w:sz="0" w:space="0" w:color="auto"/>
            <w:left w:val="none" w:sz="0" w:space="0" w:color="auto"/>
            <w:bottom w:val="none" w:sz="0" w:space="0" w:color="auto"/>
            <w:right w:val="none" w:sz="0" w:space="0" w:color="auto"/>
          </w:divBdr>
        </w:div>
        <w:div w:id="1702047030">
          <w:marLeft w:val="1699"/>
          <w:marRight w:val="0"/>
          <w:marTop w:val="60"/>
          <w:marBottom w:val="0"/>
          <w:divBdr>
            <w:top w:val="none" w:sz="0" w:space="0" w:color="auto"/>
            <w:left w:val="none" w:sz="0" w:space="0" w:color="auto"/>
            <w:bottom w:val="none" w:sz="0" w:space="0" w:color="auto"/>
            <w:right w:val="none" w:sz="0" w:space="0" w:color="auto"/>
          </w:divBdr>
        </w:div>
      </w:divsChild>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51312777">
      <w:bodyDiv w:val="1"/>
      <w:marLeft w:val="0"/>
      <w:marRight w:val="0"/>
      <w:marTop w:val="0"/>
      <w:marBottom w:val="0"/>
      <w:divBdr>
        <w:top w:val="none" w:sz="0" w:space="0" w:color="auto"/>
        <w:left w:val="none" w:sz="0" w:space="0" w:color="auto"/>
        <w:bottom w:val="none" w:sz="0" w:space="0" w:color="auto"/>
        <w:right w:val="none" w:sz="0" w:space="0" w:color="auto"/>
      </w:divBdr>
      <w:divsChild>
        <w:div w:id="1465780217">
          <w:marLeft w:val="547"/>
          <w:marRight w:val="0"/>
          <w:marTop w:val="60"/>
          <w:marBottom w:val="0"/>
          <w:divBdr>
            <w:top w:val="none" w:sz="0" w:space="0" w:color="auto"/>
            <w:left w:val="none" w:sz="0" w:space="0" w:color="auto"/>
            <w:bottom w:val="none" w:sz="0" w:space="0" w:color="auto"/>
            <w:right w:val="none" w:sz="0" w:space="0" w:color="auto"/>
          </w:divBdr>
        </w:div>
        <w:div w:id="1175918348">
          <w:marLeft w:val="1123"/>
          <w:marRight w:val="0"/>
          <w:marTop w:val="60"/>
          <w:marBottom w:val="0"/>
          <w:divBdr>
            <w:top w:val="none" w:sz="0" w:space="0" w:color="auto"/>
            <w:left w:val="none" w:sz="0" w:space="0" w:color="auto"/>
            <w:bottom w:val="none" w:sz="0" w:space="0" w:color="auto"/>
            <w:right w:val="none" w:sz="0" w:space="0" w:color="auto"/>
          </w:divBdr>
        </w:div>
        <w:div w:id="1871916808">
          <w:marLeft w:val="547"/>
          <w:marRight w:val="0"/>
          <w:marTop w:val="60"/>
          <w:marBottom w:val="0"/>
          <w:divBdr>
            <w:top w:val="none" w:sz="0" w:space="0" w:color="auto"/>
            <w:left w:val="none" w:sz="0" w:space="0" w:color="auto"/>
            <w:bottom w:val="none" w:sz="0" w:space="0" w:color="auto"/>
            <w:right w:val="none" w:sz="0" w:space="0" w:color="auto"/>
          </w:divBdr>
        </w:div>
        <w:div w:id="1226573009">
          <w:marLeft w:val="1296"/>
          <w:marRight w:val="0"/>
          <w:marTop w:val="60"/>
          <w:marBottom w:val="0"/>
          <w:divBdr>
            <w:top w:val="none" w:sz="0" w:space="0" w:color="auto"/>
            <w:left w:val="none" w:sz="0" w:space="0" w:color="auto"/>
            <w:bottom w:val="none" w:sz="0" w:space="0" w:color="auto"/>
            <w:right w:val="none" w:sz="0" w:space="0" w:color="auto"/>
          </w:divBdr>
        </w:div>
        <w:div w:id="1583248557">
          <w:marLeft w:val="1296"/>
          <w:marRight w:val="0"/>
          <w:marTop w:val="60"/>
          <w:marBottom w:val="0"/>
          <w:divBdr>
            <w:top w:val="none" w:sz="0" w:space="0" w:color="auto"/>
            <w:left w:val="none" w:sz="0" w:space="0" w:color="auto"/>
            <w:bottom w:val="none" w:sz="0" w:space="0" w:color="auto"/>
            <w:right w:val="none" w:sz="0" w:space="0" w:color="auto"/>
          </w:divBdr>
        </w:div>
        <w:div w:id="549465360">
          <w:marLeft w:val="1296"/>
          <w:marRight w:val="0"/>
          <w:marTop w:val="60"/>
          <w:marBottom w:val="0"/>
          <w:divBdr>
            <w:top w:val="none" w:sz="0" w:space="0" w:color="auto"/>
            <w:left w:val="none" w:sz="0" w:space="0" w:color="auto"/>
            <w:bottom w:val="none" w:sz="0" w:space="0" w:color="auto"/>
            <w:right w:val="none" w:sz="0" w:space="0" w:color="auto"/>
          </w:divBdr>
        </w:div>
        <w:div w:id="1151754575">
          <w:marLeft w:val="1296"/>
          <w:marRight w:val="0"/>
          <w:marTop w:val="60"/>
          <w:marBottom w:val="0"/>
          <w:divBdr>
            <w:top w:val="none" w:sz="0" w:space="0" w:color="auto"/>
            <w:left w:val="none" w:sz="0" w:space="0" w:color="auto"/>
            <w:bottom w:val="none" w:sz="0" w:space="0" w:color="auto"/>
            <w:right w:val="none" w:sz="0" w:space="0" w:color="auto"/>
          </w:divBdr>
        </w:div>
        <w:div w:id="239684194">
          <w:marLeft w:val="1296"/>
          <w:marRight w:val="0"/>
          <w:marTop w:val="60"/>
          <w:marBottom w:val="0"/>
          <w:divBdr>
            <w:top w:val="none" w:sz="0" w:space="0" w:color="auto"/>
            <w:left w:val="none" w:sz="0" w:space="0" w:color="auto"/>
            <w:bottom w:val="none" w:sz="0" w:space="0" w:color="auto"/>
            <w:right w:val="none" w:sz="0" w:space="0" w:color="auto"/>
          </w:divBdr>
        </w:div>
        <w:div w:id="1790659817">
          <w:marLeft w:val="547"/>
          <w:marRight w:val="0"/>
          <w:marTop w:val="60"/>
          <w:marBottom w:val="0"/>
          <w:divBdr>
            <w:top w:val="none" w:sz="0" w:space="0" w:color="auto"/>
            <w:left w:val="none" w:sz="0" w:space="0" w:color="auto"/>
            <w:bottom w:val="none" w:sz="0" w:space="0" w:color="auto"/>
            <w:right w:val="none" w:sz="0" w:space="0" w:color="auto"/>
          </w:divBdr>
        </w:div>
        <w:div w:id="2117362944">
          <w:marLeft w:val="1123"/>
          <w:marRight w:val="0"/>
          <w:marTop w:val="60"/>
          <w:marBottom w:val="0"/>
          <w:divBdr>
            <w:top w:val="none" w:sz="0" w:space="0" w:color="auto"/>
            <w:left w:val="none" w:sz="0" w:space="0" w:color="auto"/>
            <w:bottom w:val="none" w:sz="0" w:space="0" w:color="auto"/>
            <w:right w:val="none" w:sz="0" w:space="0" w:color="auto"/>
          </w:divBdr>
        </w:div>
        <w:div w:id="1338725476">
          <w:marLeft w:val="1123"/>
          <w:marRight w:val="0"/>
          <w:marTop w:val="60"/>
          <w:marBottom w:val="0"/>
          <w:divBdr>
            <w:top w:val="none" w:sz="0" w:space="0" w:color="auto"/>
            <w:left w:val="none" w:sz="0" w:space="0" w:color="auto"/>
            <w:bottom w:val="none" w:sz="0" w:space="0" w:color="auto"/>
            <w:right w:val="none" w:sz="0" w:space="0" w:color="auto"/>
          </w:divBdr>
        </w:div>
        <w:div w:id="1574126451">
          <w:marLeft w:val="1123"/>
          <w:marRight w:val="0"/>
          <w:marTop w:val="6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96034285">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08/Docs/R2-1916375.zip" TargetMode="External"/><Relationship Id="rId3" Type="http://schemas.openxmlformats.org/officeDocument/2006/relationships/settings" Target="settings.xml"/><Relationship Id="rId7" Type="http://schemas.openxmlformats.org/officeDocument/2006/relationships/hyperlink" Target="https://www.3gpp.org/ftp/tsg_ran/WG4_Radio//TSGR4_93/Docs/R4-191594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3</Pages>
  <Words>1032</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36</cp:revision>
  <cp:lastPrinted>2009-10-21T14:47:00Z</cp:lastPrinted>
  <dcterms:created xsi:type="dcterms:W3CDTF">2019-01-22T06:45:00Z</dcterms:created>
  <dcterms:modified xsi:type="dcterms:W3CDTF">2020-02-14T05:19:00Z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